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仿宋" w:hAnsi="华文仿宋" w:eastAsia="华文仿宋"/>
          <w:b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</w:rPr>
        <w:t>天津市华博水务有限公司</w:t>
      </w:r>
      <w:r>
        <w:rPr>
          <w:rFonts w:hint="eastAsia" w:ascii="华文仿宋" w:hAnsi="华文仿宋" w:eastAsia="华文仿宋"/>
          <w:b/>
          <w:sz w:val="24"/>
          <w:szCs w:val="24"/>
          <w:lang w:val="en-US" w:eastAsia="zh-CN"/>
        </w:rPr>
        <w:t>2025年天津华博水务有限公司财务培训项目</w:t>
      </w:r>
      <w:r>
        <w:rPr>
          <w:rFonts w:hint="eastAsia" w:ascii="华文仿宋" w:hAnsi="华文仿宋" w:eastAsia="华文仿宋"/>
          <w:b/>
          <w:sz w:val="24"/>
          <w:szCs w:val="24"/>
        </w:rPr>
        <w:t>询价函</w:t>
      </w:r>
    </w:p>
    <w:p>
      <w:pPr>
        <w:jc w:val="center"/>
        <w:rPr>
          <w:rFonts w:ascii="华文仿宋" w:hAnsi="华文仿宋" w:eastAsia="华文仿宋"/>
          <w:sz w:val="24"/>
          <w:szCs w:val="24"/>
        </w:rPr>
      </w:pPr>
    </w:p>
    <w:p>
      <w:pPr>
        <w:pStyle w:val="6"/>
        <w:shd w:val="clear" w:color="auto" w:fill="FFFFFF"/>
        <w:spacing w:before="0" w:beforeAutospacing="0"/>
        <w:ind w:firstLine="480" w:firstLineChars="200"/>
        <w:jc w:val="both"/>
        <w:rPr>
          <w:rFonts w:ascii="华文仿宋" w:hAnsi="华文仿宋" w:eastAsia="华文仿宋" w:cs="Arial"/>
          <w:color w:val="333333"/>
        </w:rPr>
      </w:pPr>
      <w:r>
        <w:rPr>
          <w:rFonts w:hint="eastAsia" w:ascii="华文仿宋" w:hAnsi="华文仿宋" w:eastAsia="华文仿宋" w:cs="微软雅黑"/>
          <w:color w:val="333333"/>
        </w:rPr>
        <w:t>根据天津市华博水务有限公司工作需要，现对</w:t>
      </w: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2025年天津华博水务有限公司财务培训项目</w:t>
      </w:r>
      <w:r>
        <w:rPr>
          <w:rFonts w:hint="eastAsia" w:ascii="华文仿宋" w:hAnsi="华文仿宋" w:eastAsia="华文仿宋" w:cs="微软雅黑"/>
          <w:color w:val="333333"/>
        </w:rPr>
        <w:t>进行询价采购，希望贵单位对我方询价函给予积极及时的回应。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  <w:lang w:val="en-US" w:eastAsia="zh-CN"/>
        </w:rPr>
      </w:pPr>
      <w:r>
        <w:rPr>
          <w:rFonts w:hint="eastAsia" w:ascii="华文仿宋" w:hAnsi="华文仿宋" w:eastAsia="华文仿宋" w:cs="微软雅黑"/>
          <w:color w:val="333333"/>
        </w:rPr>
        <w:t>项目名称：</w:t>
      </w: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2025年天津华博水务有限公司财务培训项目。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</w:rPr>
      </w:pPr>
      <w:r>
        <w:rPr>
          <w:rFonts w:hint="eastAsia" w:ascii="华文仿宋" w:hAnsi="华文仿宋" w:eastAsia="华文仿宋" w:cs="微软雅黑"/>
          <w:color w:val="333333"/>
        </w:rPr>
        <w:t>招标单位：天津市华博水务有限公司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b/>
          <w:bCs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一、项目需求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</w:rPr>
      </w:pP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本次招标范围为2025年天津华博水务有限公司财务培训项目。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b/>
          <w:bCs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二、资格要求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  <w:lang w:val="en-US" w:eastAsia="zh-CN"/>
        </w:rPr>
      </w:pP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1、具有独立的法人资格，营业执照在有效期内，且经营范围包含相关业务，包括AI税务顾问、全年风险检测服务；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  <w:lang w:val="en-US" w:eastAsia="zh-CN"/>
        </w:rPr>
      </w:pP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2、投标单位应为天津水务集团有限公司合格供应商（“津水云采”平台注册审核通过并购买CA证书的供应商）；。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  <w:lang w:val="en-US" w:eastAsia="zh-CN"/>
        </w:rPr>
      </w:pP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本次项目不接受联合体投标。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b/>
          <w:bCs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三、报价为含税价格。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四、项目预算金额</w:t>
      </w:r>
      <w:r>
        <w:rPr>
          <w:rFonts w:hint="eastAsia" w:ascii="华文仿宋" w:hAnsi="华文仿宋" w:eastAsia="华文仿宋" w:cs="微软雅黑"/>
          <w:color w:val="333333"/>
        </w:rPr>
        <w:t>：</w:t>
      </w: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28</w:t>
      </w:r>
      <w:r>
        <w:rPr>
          <w:rFonts w:hint="eastAsia" w:ascii="华文仿宋" w:hAnsi="华文仿宋" w:eastAsia="华文仿宋" w:cs="微软雅黑"/>
          <w:color w:val="333333"/>
        </w:rPr>
        <w:t>000元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五、项目</w:t>
      </w:r>
      <w:r>
        <w:rPr>
          <w:rFonts w:hint="eastAsia" w:ascii="华文仿宋" w:hAnsi="华文仿宋" w:eastAsia="华文仿宋" w:cs="微软雅黑"/>
          <w:b/>
          <w:bCs/>
          <w:color w:val="333333"/>
          <w:lang w:val="en-US" w:eastAsia="zh-CN"/>
        </w:rPr>
        <w:t>控制</w:t>
      </w:r>
      <w:bookmarkStart w:id="0" w:name="_GoBack"/>
      <w:bookmarkEnd w:id="0"/>
      <w:r>
        <w:rPr>
          <w:rFonts w:hint="eastAsia" w:ascii="华文仿宋" w:hAnsi="华文仿宋" w:eastAsia="华文仿宋" w:cs="微软雅黑"/>
          <w:b/>
          <w:bCs/>
          <w:color w:val="333333"/>
        </w:rPr>
        <w:t>价格：</w:t>
      </w: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28</w:t>
      </w:r>
      <w:r>
        <w:rPr>
          <w:rFonts w:hint="eastAsia" w:ascii="华文仿宋" w:hAnsi="华文仿宋" w:eastAsia="华文仿宋" w:cs="微软雅黑"/>
          <w:color w:val="333333"/>
        </w:rPr>
        <w:t>000元</w:t>
      </w:r>
      <w:r>
        <w:rPr>
          <w:rFonts w:hint="eastAsia" w:ascii="华文仿宋" w:hAnsi="华文仿宋" w:eastAsia="华文仿宋" w:cs="微软雅黑"/>
          <w:color w:val="333333"/>
          <w:lang w:eastAsia="zh-CN"/>
        </w:rPr>
        <w:t>，</w:t>
      </w:r>
      <w:r>
        <w:rPr>
          <w:rFonts w:hint="eastAsia" w:ascii="华文仿宋" w:hAnsi="华文仿宋" w:eastAsia="华文仿宋" w:cs="微软雅黑"/>
          <w:color w:val="333333"/>
        </w:rPr>
        <w:t>超过该报价无效，本项目采用“合理低价法”的方式选定合格供应商。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六、服务期限：</w:t>
      </w:r>
      <w:r>
        <w:rPr>
          <w:rFonts w:hint="eastAsia" w:ascii="华文仿宋" w:hAnsi="华文仿宋" w:eastAsia="华文仿宋" w:cs="微软雅黑"/>
          <w:color w:val="333333"/>
        </w:rPr>
        <w:t>1年。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七、付款方式：</w:t>
      </w: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须开具增值税普通发票后，一次性支付全部财税服务费用至指定账户。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color w:val="333333"/>
          <w:lang w:val="en-US" w:eastAsia="zh-CN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八、报价截止时间：</w:t>
      </w: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本项目报价期限为询价文件自发出之日起截止至</w:t>
      </w: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2025年12月24日11时（北京时间）。</w:t>
      </w:r>
    </w:p>
    <w:p>
      <w:pPr>
        <w:pStyle w:val="6"/>
        <w:shd w:val="clear" w:color="auto" w:fill="FFFFFF"/>
        <w:spacing w:before="0" w:beforeAutospacing="0"/>
        <w:ind w:firstLine="480" w:firstLineChars="200"/>
        <w:jc w:val="both"/>
        <w:rPr>
          <w:rFonts w:hint="default" w:ascii="华文仿宋" w:hAnsi="华文仿宋" w:eastAsia="华文仿宋" w:cs="微软雅黑"/>
          <w:color w:val="333333"/>
          <w:lang w:val="en-US" w:eastAsia="zh-CN"/>
        </w:rPr>
      </w:pPr>
      <w:r>
        <w:rPr>
          <w:rFonts w:hint="eastAsia" w:ascii="华文仿宋" w:hAnsi="华文仿宋" w:eastAsia="华文仿宋" w:cs="微软雅黑"/>
          <w:color w:val="333333"/>
          <w:lang w:val="en-US" w:eastAsia="zh-CN"/>
        </w:rPr>
        <w:t>开标日期：2025年12月24日11时</w:t>
      </w:r>
    </w:p>
    <w:p>
      <w:pPr>
        <w:pStyle w:val="6"/>
        <w:shd w:val="clear" w:color="auto" w:fill="FFFFFF"/>
        <w:spacing w:before="0" w:beforeAutospacing="0"/>
        <w:jc w:val="both"/>
        <w:rPr>
          <w:rFonts w:hint="eastAsia" w:ascii="华文仿宋" w:hAnsi="华文仿宋" w:eastAsia="华文仿宋" w:cs="微软雅黑"/>
          <w:b/>
          <w:bCs/>
          <w:color w:val="333333"/>
        </w:rPr>
      </w:pPr>
      <w:r>
        <w:rPr>
          <w:rFonts w:hint="eastAsia" w:ascii="华文仿宋" w:hAnsi="华文仿宋" w:eastAsia="华文仿宋" w:cs="微软雅黑"/>
          <w:b/>
          <w:bCs/>
          <w:color w:val="333333"/>
        </w:rPr>
        <w:t>九、采购人可参考其他供应商报价、历史采购价和近期市场价格等。对于异常低价可能导致影响履约的报价，可要求报价人进行澄清，不能说明其报价合理或保证履约的，采购人有权否决该报价。</w:t>
      </w:r>
    </w:p>
    <w:p>
      <w:pPr>
        <w:rPr>
          <w:rFonts w:hint="eastAsia" w:ascii="华文仿宋" w:hAnsi="华文仿宋" w:eastAsia="华文仿宋" w:cs="微软雅黑"/>
          <w:color w:val="333333"/>
          <w:sz w:val="24"/>
          <w:szCs w:val="24"/>
          <w:lang w:val="en-US" w:eastAsia="zh-CN" w:bidi="ar-SA"/>
        </w:rPr>
      </w:pPr>
      <w:r>
        <w:rPr>
          <w:rFonts w:hint="eastAsia" w:ascii="华文仿宋" w:hAnsi="华文仿宋" w:eastAsia="华文仿宋" w:cs="微软雅黑"/>
          <w:color w:val="333333"/>
          <w:sz w:val="24"/>
          <w:szCs w:val="24"/>
          <w:lang w:val="en-US" w:eastAsia="zh-CN" w:bidi="ar-SA"/>
        </w:rPr>
        <w:t>联系人：岳子荐</w:t>
      </w:r>
    </w:p>
    <w:p>
      <w:pPr>
        <w:rPr>
          <w:rFonts w:hint="eastAsia" w:ascii="华文仿宋" w:hAnsi="华文仿宋" w:eastAsia="华文仿宋" w:cs="微软雅黑"/>
          <w:color w:val="333333"/>
          <w:sz w:val="24"/>
          <w:szCs w:val="24"/>
          <w:lang w:val="en-US" w:eastAsia="zh-CN" w:bidi="ar-SA"/>
        </w:rPr>
      </w:pPr>
      <w:r>
        <w:rPr>
          <w:rFonts w:hint="eastAsia" w:ascii="华文仿宋" w:hAnsi="华文仿宋" w:eastAsia="华文仿宋" w:cs="微软雅黑"/>
          <w:color w:val="333333"/>
          <w:sz w:val="24"/>
          <w:szCs w:val="24"/>
          <w:lang w:val="en-US" w:eastAsia="zh-CN" w:bidi="ar-SA"/>
        </w:rPr>
        <w:t>电话：15222199911</w:t>
      </w:r>
    </w:p>
    <w:p>
      <w:pPr>
        <w:rPr>
          <w:rFonts w:hint="eastAsia" w:ascii="华文仿宋" w:hAnsi="华文仿宋" w:eastAsia="华文仿宋" w:cs="微软雅黑"/>
          <w:color w:val="333333"/>
          <w:sz w:val="24"/>
          <w:szCs w:val="24"/>
          <w:lang w:val="en-US" w:eastAsia="zh-CN" w:bidi="ar-SA"/>
        </w:rPr>
      </w:pPr>
      <w:r>
        <w:rPr>
          <w:rFonts w:hint="eastAsia" w:ascii="华文仿宋" w:hAnsi="华文仿宋" w:eastAsia="华文仿宋" w:cs="微软雅黑"/>
          <w:color w:val="333333"/>
          <w:sz w:val="24"/>
          <w:szCs w:val="24"/>
          <w:lang w:val="en-US" w:eastAsia="zh-CN" w:bidi="ar-SA"/>
        </w:rPr>
        <w:t>发布日期：2025年12月19日</w:t>
      </w:r>
    </w:p>
    <w:p>
      <w:pPr>
        <w:rPr>
          <w:rFonts w:hint="eastAsia" w:ascii="华文仿宋" w:hAnsi="华文仿宋" w:eastAsia="华文仿宋" w:cs="微软雅黑"/>
          <w:color w:val="333333"/>
          <w:sz w:val="24"/>
          <w:szCs w:val="24"/>
          <w:lang w:val="en-US" w:eastAsia="zh-CN" w:bidi="ar-SA"/>
        </w:rPr>
      </w:pPr>
    </w:p>
    <w:sectPr>
      <w:pgSz w:w="12240" w:h="15840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细黑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xNDM0MjA5Njg2YThhMmFhYWFiZWYwZTU3MzA2NWEifQ=="/>
  </w:docVars>
  <w:rsids>
    <w:rsidRoot w:val="00BC7B3E"/>
    <w:rsid w:val="0002557F"/>
    <w:rsid w:val="00035123"/>
    <w:rsid w:val="0005143E"/>
    <w:rsid w:val="00052616"/>
    <w:rsid w:val="00055458"/>
    <w:rsid w:val="00084F5E"/>
    <w:rsid w:val="00085E9A"/>
    <w:rsid w:val="00096A8F"/>
    <w:rsid w:val="000F6E3E"/>
    <w:rsid w:val="001310F9"/>
    <w:rsid w:val="001607E0"/>
    <w:rsid w:val="00180840"/>
    <w:rsid w:val="001A0CA6"/>
    <w:rsid w:val="001F1CB2"/>
    <w:rsid w:val="00203454"/>
    <w:rsid w:val="002278C7"/>
    <w:rsid w:val="002746D3"/>
    <w:rsid w:val="00280C3D"/>
    <w:rsid w:val="002B01FD"/>
    <w:rsid w:val="002F1D4D"/>
    <w:rsid w:val="00327F3A"/>
    <w:rsid w:val="00353294"/>
    <w:rsid w:val="003A11AC"/>
    <w:rsid w:val="003C4FD8"/>
    <w:rsid w:val="003F2E93"/>
    <w:rsid w:val="004B02DC"/>
    <w:rsid w:val="00512744"/>
    <w:rsid w:val="005309F2"/>
    <w:rsid w:val="00541D7F"/>
    <w:rsid w:val="00556D75"/>
    <w:rsid w:val="00557B9D"/>
    <w:rsid w:val="005C4CB7"/>
    <w:rsid w:val="005D0D1D"/>
    <w:rsid w:val="005E2353"/>
    <w:rsid w:val="005E48FC"/>
    <w:rsid w:val="005E515C"/>
    <w:rsid w:val="006616E6"/>
    <w:rsid w:val="006C6579"/>
    <w:rsid w:val="006C7033"/>
    <w:rsid w:val="007132C0"/>
    <w:rsid w:val="00750637"/>
    <w:rsid w:val="00791FA5"/>
    <w:rsid w:val="007D0666"/>
    <w:rsid w:val="007F71C1"/>
    <w:rsid w:val="0081003E"/>
    <w:rsid w:val="00875F5A"/>
    <w:rsid w:val="00876CF0"/>
    <w:rsid w:val="008B019D"/>
    <w:rsid w:val="008F2597"/>
    <w:rsid w:val="0096497F"/>
    <w:rsid w:val="009956B5"/>
    <w:rsid w:val="009C7518"/>
    <w:rsid w:val="009F6689"/>
    <w:rsid w:val="00A16F5E"/>
    <w:rsid w:val="00A46EFF"/>
    <w:rsid w:val="00A73608"/>
    <w:rsid w:val="00A8788A"/>
    <w:rsid w:val="00AD1038"/>
    <w:rsid w:val="00AD10D2"/>
    <w:rsid w:val="00B0590E"/>
    <w:rsid w:val="00B437BD"/>
    <w:rsid w:val="00B62AE5"/>
    <w:rsid w:val="00BA10D6"/>
    <w:rsid w:val="00BC02FE"/>
    <w:rsid w:val="00BC7B3E"/>
    <w:rsid w:val="00C54D19"/>
    <w:rsid w:val="00CC0969"/>
    <w:rsid w:val="00CC442B"/>
    <w:rsid w:val="00D53B41"/>
    <w:rsid w:val="00D733AD"/>
    <w:rsid w:val="00D74BE1"/>
    <w:rsid w:val="00DB0D6C"/>
    <w:rsid w:val="00E72D89"/>
    <w:rsid w:val="00E874C4"/>
    <w:rsid w:val="00E96559"/>
    <w:rsid w:val="00EA6208"/>
    <w:rsid w:val="00F0676F"/>
    <w:rsid w:val="00FB0921"/>
    <w:rsid w:val="00FF3AF6"/>
    <w:rsid w:val="15DE1399"/>
    <w:rsid w:val="18C81C1B"/>
    <w:rsid w:val="228177E5"/>
    <w:rsid w:val="2D894D5D"/>
    <w:rsid w:val="378447E8"/>
    <w:rsid w:val="39527A9C"/>
    <w:rsid w:val="3FD83BF9"/>
    <w:rsid w:val="6554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Theme="minorHAnsi" w:hAnsiTheme="minorHAnsi" w:eastAsiaTheme="minorEastAsia" w:cstheme="minorBidi"/>
      <w:sz w:val="20"/>
      <w:szCs w:val="22"/>
      <w:lang w:val="en-GB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rPr>
      <w:szCs w:val="20"/>
    </w:rPr>
  </w:style>
  <w:style w:type="paragraph" w:styleId="3">
    <w:name w:val="Balloon Text"/>
    <w:basedOn w:val="1"/>
    <w:link w:val="15"/>
    <w:semiHidden/>
    <w:unhideWhenUsed/>
    <w:uiPriority w:val="99"/>
    <w:rPr>
      <w:rFonts w:ascii="Microsoft YaHei UI" w:eastAsia="Microsoft YaHei UI"/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320"/>
        <w:tab w:val="right" w:pos="8640"/>
      </w:tabs>
    </w:pPr>
  </w:style>
  <w:style w:type="paragraph" w:styleId="5">
    <w:name w:val="header"/>
    <w:basedOn w:val="1"/>
    <w:link w:val="11"/>
    <w:unhideWhenUsed/>
    <w:uiPriority w:val="99"/>
    <w:pPr>
      <w:tabs>
        <w:tab w:val="center" w:pos="4320"/>
        <w:tab w:val="right" w:pos="8640"/>
      </w:tabs>
    </w:p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US"/>
    </w:rPr>
  </w:style>
  <w:style w:type="paragraph" w:styleId="7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character" w:styleId="10">
    <w:name w:val="annotation reference"/>
    <w:basedOn w:val="9"/>
    <w:semiHidden/>
    <w:unhideWhenUsed/>
    <w:uiPriority w:val="99"/>
    <w:rPr>
      <w:sz w:val="16"/>
      <w:szCs w:val="16"/>
    </w:rPr>
  </w:style>
  <w:style w:type="character" w:customStyle="1" w:styleId="11">
    <w:name w:val="页眉 字符"/>
    <w:basedOn w:val="9"/>
    <w:link w:val="5"/>
    <w:uiPriority w:val="99"/>
  </w:style>
  <w:style w:type="character" w:customStyle="1" w:styleId="12">
    <w:name w:val="页脚 字符"/>
    <w:basedOn w:val="9"/>
    <w:link w:val="4"/>
    <w:uiPriority w:val="99"/>
  </w:style>
  <w:style w:type="character" w:customStyle="1" w:styleId="13">
    <w:name w:val="批注文字 字符"/>
    <w:basedOn w:val="9"/>
    <w:link w:val="2"/>
    <w:semiHidden/>
    <w:qFormat/>
    <w:uiPriority w:val="99"/>
    <w:rPr>
      <w:sz w:val="20"/>
      <w:szCs w:val="20"/>
      <w:lang w:val="en-GB"/>
    </w:rPr>
  </w:style>
  <w:style w:type="character" w:customStyle="1" w:styleId="14">
    <w:name w:val="批注主题 字符"/>
    <w:basedOn w:val="13"/>
    <w:link w:val="7"/>
    <w:semiHidden/>
    <w:qFormat/>
    <w:uiPriority w:val="99"/>
    <w:rPr>
      <w:b/>
      <w:bCs/>
      <w:sz w:val="20"/>
      <w:szCs w:val="20"/>
      <w:lang w:val="en-GB"/>
    </w:r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="Microsoft YaHei UI" w:eastAsia="Microsoft YaHei UI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Deloitte_US_Letter_Print Theme">
  <a:themeElements>
    <a:clrScheme name="Deloitte colour them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86BC25"/>
      </a:accent1>
      <a:accent2>
        <a:srgbClr val="2C5234"/>
      </a:accent2>
      <a:accent3>
        <a:srgbClr val="00A3E0"/>
      </a:accent3>
      <a:accent4>
        <a:srgbClr val="012169"/>
      </a:accent4>
      <a:accent5>
        <a:srgbClr val="0097A9"/>
      </a:accent5>
      <a:accent6>
        <a:srgbClr val="75787B"/>
      </a:accent6>
      <a:hlink>
        <a:srgbClr val="00A3E0"/>
      </a:hlink>
      <a:folHlink>
        <a:srgbClr val="954F72"/>
      </a:folHlink>
    </a:clrScheme>
    <a:fontScheme name="Custom 10">
      <a:majorFont>
        <a:latin typeface="Calibri"/>
        <a:ea typeface="华文细黑"/>
        <a:cs typeface=""/>
      </a:majorFont>
      <a:minorFont>
        <a:latin typeface="Calibri Light"/>
        <a:ea typeface="华文细黑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gray">
        <a:solidFill>
          <a:schemeClr val="accent3"/>
        </a:solidFill>
        <a:ln w="19050" algn="ctr">
          <a:noFill/>
          <a:miter lim="800000"/>
        </a:ln>
      </a:spPr>
      <a:bodyPr wrap="square" lIns="88900" tIns="88900" rIns="88900" bIns="88900" rtlCol="0" anchor="ctr"/>
      <a:lstStyle/>
    </a:spDef>
    <a:lnDef>
      <a:spPr>
        <a:ln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/>
    </a:txDef>
  </a:objectDefaults>
  <a:custClrLst>
    <a:custClr name="Green 7">
      <a:srgbClr val="2C5234"/>
    </a:custClr>
    <a:custClr name="Green 6">
      <a:srgbClr val="046A38"/>
    </a:custClr>
    <a:custClr name="Green 5">
      <a:srgbClr val="009A44"/>
    </a:custClr>
    <a:custClr name="Green 4">
      <a:srgbClr val="43B02A"/>
    </a:custClr>
    <a:custClr name="Deloitte Green">
      <a:srgbClr val="86BC25"/>
    </a:custClr>
    <a:custClr name="Green 2">
      <a:srgbClr val="C4D600"/>
    </a:custClr>
    <a:custClr name="Green 1">
      <a:srgbClr val="E3E48D"/>
    </a:custClr>
    <a:custClr name="Teal 7">
      <a:srgbClr val="004F59"/>
    </a:custClr>
    <a:custClr name="Teal 6">
      <a:srgbClr val="007680"/>
    </a:custClr>
    <a:custClr name="Teal 5">
      <a:srgbClr val="0097A9"/>
    </a:custClr>
    <a:custClr name="Teal 4">
      <a:srgbClr val="00ABAB"/>
    </a:custClr>
    <a:custClr name="Teal 3">
      <a:srgbClr val="6FC2B4"/>
    </a:custClr>
    <a:custClr name="Teal 2">
      <a:srgbClr val="9DD4CF"/>
    </a:custClr>
    <a:custClr name="Teal 1">
      <a:srgbClr val="DDEFE8"/>
    </a:custClr>
    <a:custClr name="Blue 7">
      <a:srgbClr val="041E42"/>
    </a:custClr>
    <a:custClr name="Blue 6">
      <a:srgbClr val="012169"/>
    </a:custClr>
    <a:custClr name="Blue 5">
      <a:srgbClr val="005587"/>
    </a:custClr>
    <a:custClr name="Blue 4">
      <a:srgbClr val="0076A8"/>
    </a:custClr>
    <a:custClr name="Blue 3">
      <a:srgbClr val="00A3E0"/>
    </a:custClr>
    <a:custClr name="Blue 2">
      <a:srgbClr val="62B5E5"/>
    </a:custClr>
    <a:custClr name="Blue 1">
      <a:srgbClr val="A0DCFF"/>
    </a:custClr>
    <a:custClr name="Cool Gray 11">
      <a:srgbClr val="53565A"/>
    </a:custClr>
    <a:custClr name="Cool Gray 10">
      <a:srgbClr val="63666A"/>
    </a:custClr>
    <a:custClr name="Cool Gray 9">
      <a:srgbClr val="75787B"/>
    </a:custClr>
    <a:custClr name="Cool Gray 7">
      <a:srgbClr val="97999B"/>
    </a:custClr>
    <a:custClr name="Cool Gray 6">
      <a:srgbClr val="A7A8AA"/>
    </a:custClr>
    <a:custClr name="Cool Gray 4">
      <a:srgbClr val="BBBCBC"/>
    </a:custClr>
    <a:custClr name="Cool Gray 2">
      <a:srgbClr val="D0D0CE"/>
    </a:custClr>
    <a:custClr name="White">
      <a:srgbClr val="FFFFFF"/>
    </a:custClr>
    <a:custClr name="Black">
      <a:srgbClr val="000000"/>
    </a:custClr>
    <a:custClr name="Red">
      <a:srgbClr val="DA291C"/>
    </a:custClr>
    <a:custClr name="Orange">
      <a:srgbClr val="ED8B00"/>
    </a:custClr>
    <a:custClr name="Yellow">
      <a:srgbClr val="FFCD00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Deloitte Touche Tohmatsu Services, Inc.</Company>
  <Pages>4</Pages>
  <Words>368</Words>
  <Characters>2101</Characters>
  <Lines>17</Lines>
  <Paragraphs>4</Paragraphs>
  <TotalTime>20</TotalTime>
  <ScaleCrop>false</ScaleCrop>
  <LinksUpToDate>false</LinksUpToDate>
  <CharactersWithSpaces>2465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2022-05-13T02:27:00Z</dcterms:created>
  <dc:creator>DTT TJ</dc:creator>
  <cp:lastModifiedBy>Administrator</cp:lastModifiedBy>
  <dcterms:modified xsi:type="dcterms:W3CDTF">2025-12-19T02:32:49Z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9D5F3EF7663445E59DBC3F5F59B55507_13</vt:lpwstr>
  </property>
</Properties>
</file>