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565822">
      <w:pPr>
        <w:spacing w:line="360" w:lineRule="auto"/>
        <w:jc w:val="center"/>
        <w:rPr>
          <w:rFonts w:hint="eastAsia" w:ascii="楷体" w:hAnsi="楷体" w:eastAsia="楷体"/>
          <w:b/>
          <w:sz w:val="48"/>
          <w:szCs w:val="48"/>
        </w:rPr>
      </w:pPr>
      <w:r>
        <w:rPr>
          <w:rFonts w:hint="eastAsia" w:ascii="仿宋" w:hAnsi="仿宋" w:eastAsia="仿宋" w:cs="仿宋"/>
          <w:b/>
          <w:bCs/>
          <w:sz w:val="36"/>
          <w:szCs w:val="36"/>
        </w:rPr>
        <w:t xml:space="preserve">引滦原水预处理厂工程施工（第2标段） </w:t>
      </w:r>
    </w:p>
    <w:p w14:paraId="6A36A440">
      <w:pPr>
        <w:spacing w:line="360" w:lineRule="auto"/>
        <w:jc w:val="center"/>
        <w:rPr>
          <w:rFonts w:hint="eastAsia" w:ascii="仿宋" w:hAnsi="仿宋" w:eastAsia="仿宋" w:cs="仿宋"/>
          <w:b/>
          <w:bCs/>
          <w:sz w:val="36"/>
          <w:szCs w:val="36"/>
          <w:lang w:eastAsia="zh-CN"/>
        </w:rPr>
      </w:pPr>
      <w:r>
        <w:rPr>
          <w:rFonts w:hint="eastAsia" w:ascii="仿宋" w:hAnsi="仿宋" w:eastAsia="仿宋" w:cs="仿宋"/>
          <w:b/>
          <w:bCs/>
          <w:sz w:val="36"/>
          <w:szCs w:val="36"/>
          <w:lang w:val="en-US" w:eastAsia="zh-CN"/>
        </w:rPr>
        <w:t>——总图阀门物资采购</w:t>
      </w:r>
    </w:p>
    <w:p w14:paraId="3F02970F">
      <w:pPr>
        <w:pStyle w:val="5"/>
        <w:rPr>
          <w:rFonts w:hint="eastAsia"/>
        </w:rPr>
      </w:pPr>
    </w:p>
    <w:p w14:paraId="46C50100">
      <w:pPr>
        <w:spacing w:line="360" w:lineRule="auto"/>
        <w:jc w:val="center"/>
        <w:rPr>
          <w:rFonts w:hint="eastAsia" w:ascii="仿宋" w:hAnsi="仿宋" w:eastAsia="仿宋" w:cs="仿宋"/>
          <w:b/>
          <w:bCs/>
          <w:sz w:val="36"/>
          <w:szCs w:val="36"/>
        </w:rPr>
      </w:pPr>
    </w:p>
    <w:p w14:paraId="777E245C">
      <w:pPr>
        <w:pStyle w:val="7"/>
        <w:spacing w:line="360" w:lineRule="auto"/>
        <w:jc w:val="center"/>
        <w:rPr>
          <w:rFonts w:hint="eastAsia" w:ascii="楷体" w:hAnsi="楷体" w:eastAsia="楷体"/>
          <w:b/>
          <w:sz w:val="48"/>
          <w:szCs w:val="48"/>
        </w:rPr>
      </w:pPr>
    </w:p>
    <w:p w14:paraId="08E9A1C7">
      <w:pPr>
        <w:pStyle w:val="7"/>
        <w:spacing w:line="360" w:lineRule="auto"/>
        <w:jc w:val="center"/>
        <w:rPr>
          <w:rFonts w:hint="eastAsia" w:ascii="楷体" w:hAnsi="楷体" w:eastAsia="楷体"/>
          <w:b/>
          <w:sz w:val="48"/>
          <w:szCs w:val="48"/>
        </w:rPr>
      </w:pPr>
    </w:p>
    <w:p w14:paraId="154D991D">
      <w:pPr>
        <w:pStyle w:val="7"/>
        <w:spacing w:line="360" w:lineRule="auto"/>
        <w:jc w:val="center"/>
        <w:rPr>
          <w:rFonts w:hint="eastAsia" w:ascii="楷体" w:hAnsi="楷体" w:eastAsia="楷体"/>
          <w:b/>
          <w:sz w:val="48"/>
          <w:szCs w:val="48"/>
        </w:rPr>
      </w:pPr>
    </w:p>
    <w:p w14:paraId="62B11D8A">
      <w:pPr>
        <w:pStyle w:val="7"/>
        <w:spacing w:line="360" w:lineRule="auto"/>
        <w:jc w:val="center"/>
        <w:rPr>
          <w:rFonts w:hint="eastAsia" w:ascii="楷体" w:hAnsi="楷体" w:eastAsia="楷体"/>
          <w:b/>
          <w:sz w:val="48"/>
          <w:szCs w:val="48"/>
        </w:rPr>
      </w:pPr>
    </w:p>
    <w:p w14:paraId="5845B1F1">
      <w:pPr>
        <w:pStyle w:val="7"/>
        <w:spacing w:line="360" w:lineRule="auto"/>
        <w:jc w:val="center"/>
        <w:rPr>
          <w:rFonts w:hint="eastAsia" w:ascii="楷体" w:hAnsi="楷体" w:eastAsia="楷体"/>
          <w:b/>
          <w:sz w:val="48"/>
          <w:szCs w:val="48"/>
        </w:rPr>
      </w:pPr>
    </w:p>
    <w:p w14:paraId="7AD7F075">
      <w:pPr>
        <w:pStyle w:val="7"/>
        <w:spacing w:line="360" w:lineRule="auto"/>
        <w:jc w:val="center"/>
        <w:rPr>
          <w:rFonts w:hint="eastAsia" w:ascii="楷体" w:hAnsi="楷体" w:eastAsia="楷体"/>
          <w:b/>
          <w:sz w:val="48"/>
          <w:szCs w:val="48"/>
        </w:rPr>
      </w:pPr>
      <w:r>
        <w:rPr>
          <w:rFonts w:hint="eastAsia" w:ascii="楷体" w:hAnsi="楷体" w:eastAsia="楷体"/>
          <w:b/>
          <w:sz w:val="48"/>
          <w:szCs w:val="48"/>
        </w:rPr>
        <w:t>招标文件</w:t>
      </w:r>
    </w:p>
    <w:p w14:paraId="6147A78B">
      <w:pPr>
        <w:pStyle w:val="7"/>
        <w:spacing w:line="360" w:lineRule="auto"/>
        <w:ind w:firstLine="2530" w:firstLineChars="525"/>
        <w:rPr>
          <w:rFonts w:hint="eastAsia" w:ascii="楷体" w:hAnsi="楷体" w:eastAsia="楷体"/>
          <w:b/>
          <w:sz w:val="48"/>
          <w:szCs w:val="48"/>
        </w:rPr>
      </w:pPr>
    </w:p>
    <w:p w14:paraId="475107C6">
      <w:pPr>
        <w:pStyle w:val="7"/>
        <w:spacing w:line="360" w:lineRule="auto"/>
        <w:ind w:firstLine="2530" w:firstLineChars="525"/>
        <w:rPr>
          <w:rFonts w:hint="eastAsia" w:ascii="楷体" w:hAnsi="楷体" w:eastAsia="楷体"/>
          <w:b/>
          <w:sz w:val="48"/>
          <w:szCs w:val="48"/>
        </w:rPr>
      </w:pPr>
    </w:p>
    <w:p w14:paraId="40032412">
      <w:pPr>
        <w:pStyle w:val="7"/>
        <w:spacing w:line="360" w:lineRule="auto"/>
        <w:ind w:firstLine="2530" w:firstLineChars="525"/>
        <w:rPr>
          <w:rFonts w:hint="eastAsia" w:ascii="楷体" w:hAnsi="楷体" w:eastAsia="楷体"/>
          <w:b/>
          <w:sz w:val="48"/>
          <w:szCs w:val="48"/>
        </w:rPr>
      </w:pPr>
    </w:p>
    <w:p w14:paraId="5965F970">
      <w:pPr>
        <w:rPr>
          <w:rFonts w:hint="eastAsia" w:ascii="楷体" w:hAnsi="楷体" w:eastAsia="楷体"/>
          <w:b/>
          <w:sz w:val="22"/>
        </w:rPr>
      </w:pPr>
    </w:p>
    <w:p w14:paraId="45637050">
      <w:pPr>
        <w:rPr>
          <w:rFonts w:hint="eastAsia" w:ascii="楷体" w:hAnsi="楷体" w:eastAsia="楷体"/>
          <w:b/>
          <w:sz w:val="22"/>
        </w:rPr>
      </w:pPr>
    </w:p>
    <w:p w14:paraId="7E972BE3">
      <w:pPr>
        <w:rPr>
          <w:rFonts w:hint="eastAsia" w:ascii="楷体" w:hAnsi="楷体" w:eastAsia="楷体"/>
          <w:b/>
          <w:sz w:val="22"/>
        </w:rPr>
      </w:pPr>
    </w:p>
    <w:p w14:paraId="50A9C68C">
      <w:pPr>
        <w:pStyle w:val="7"/>
        <w:spacing w:line="480" w:lineRule="auto"/>
        <w:ind w:firstLine="843" w:firstLineChars="300"/>
        <w:rPr>
          <w:rFonts w:hint="eastAsia" w:ascii="楷体" w:hAnsi="楷体" w:eastAsia="楷体"/>
          <w:b/>
          <w:sz w:val="28"/>
          <w:szCs w:val="28"/>
        </w:rPr>
      </w:pPr>
    </w:p>
    <w:p w14:paraId="6C668BDF">
      <w:pPr>
        <w:pStyle w:val="7"/>
        <w:spacing w:line="480" w:lineRule="auto"/>
        <w:rPr>
          <w:rFonts w:hint="eastAsia" w:ascii="楷体" w:hAnsi="楷体" w:eastAsia="楷体"/>
          <w:b/>
          <w:sz w:val="28"/>
          <w:szCs w:val="28"/>
        </w:rPr>
      </w:pPr>
    </w:p>
    <w:p w14:paraId="5CBD5C98">
      <w:pPr>
        <w:pStyle w:val="7"/>
        <w:spacing w:line="480" w:lineRule="auto"/>
        <w:rPr>
          <w:rFonts w:hint="eastAsia" w:ascii="楷体" w:hAnsi="楷体" w:eastAsia="楷体"/>
          <w:b/>
          <w:sz w:val="28"/>
          <w:szCs w:val="28"/>
        </w:rPr>
      </w:pPr>
    </w:p>
    <w:p w14:paraId="5508075B">
      <w:pPr>
        <w:pStyle w:val="7"/>
        <w:spacing w:line="480" w:lineRule="auto"/>
        <w:ind w:firstLine="281" w:firstLineChars="100"/>
        <w:rPr>
          <w:rFonts w:hint="eastAsia" w:ascii="楷体" w:hAnsi="楷体" w:eastAsia="楷体"/>
          <w:b/>
          <w:sz w:val="18"/>
          <w:szCs w:val="18"/>
        </w:rPr>
      </w:pPr>
      <w:r>
        <w:rPr>
          <w:rFonts w:hint="eastAsia" w:ascii="楷体" w:hAnsi="楷体" w:eastAsia="楷体"/>
          <w:b/>
          <w:sz w:val="28"/>
          <w:szCs w:val="28"/>
        </w:rPr>
        <w:t>招标单位：天津市管道工程集团有限公司第八分公司（盖章）</w:t>
      </w:r>
    </w:p>
    <w:p w14:paraId="42B1F0A1">
      <w:pPr>
        <w:pStyle w:val="11"/>
        <w:spacing w:before="0" w:beforeAutospacing="0" w:after="0" w:afterAutospacing="0" w:line="520" w:lineRule="exact"/>
        <w:jc w:val="center"/>
        <w:rPr>
          <w:rFonts w:hint="eastAsia" w:ascii="楷体" w:hAnsi="楷体" w:eastAsia="楷体"/>
          <w:b/>
          <w:sz w:val="36"/>
        </w:rPr>
      </w:pPr>
      <w:r>
        <w:rPr>
          <w:rFonts w:hint="eastAsia" w:ascii="楷体" w:hAnsi="楷体" w:eastAsia="楷体"/>
          <w:b/>
          <w:sz w:val="36"/>
        </w:rPr>
        <w:t>202</w:t>
      </w:r>
      <w:r>
        <w:rPr>
          <w:rFonts w:hint="eastAsia" w:ascii="楷体" w:hAnsi="楷体" w:eastAsia="楷体"/>
          <w:b/>
          <w:sz w:val="36"/>
          <w:lang w:val="en-US" w:eastAsia="zh-CN"/>
        </w:rPr>
        <w:t>5</w:t>
      </w:r>
      <w:r>
        <w:rPr>
          <w:rFonts w:hint="eastAsia" w:ascii="楷体" w:hAnsi="楷体" w:eastAsia="楷体"/>
          <w:b/>
          <w:sz w:val="36"/>
        </w:rPr>
        <w:t>年</w:t>
      </w:r>
      <w:r>
        <w:rPr>
          <w:rFonts w:hint="eastAsia" w:ascii="楷体" w:hAnsi="楷体" w:eastAsia="楷体"/>
          <w:b/>
          <w:sz w:val="36"/>
          <w:lang w:val="en-US" w:eastAsia="zh-CN"/>
        </w:rPr>
        <w:t>10</w:t>
      </w:r>
      <w:r>
        <w:rPr>
          <w:rFonts w:hint="eastAsia" w:ascii="楷体" w:hAnsi="楷体" w:eastAsia="楷体"/>
          <w:b/>
          <w:sz w:val="36"/>
        </w:rPr>
        <w:t>月</w:t>
      </w:r>
      <w:r>
        <w:rPr>
          <w:rFonts w:hint="eastAsia" w:ascii="楷体" w:hAnsi="楷体" w:eastAsia="楷体"/>
          <w:b/>
          <w:sz w:val="36"/>
          <w:lang w:val="en-US" w:eastAsia="zh-CN"/>
        </w:rPr>
        <w:t>21</w:t>
      </w:r>
      <w:r>
        <w:rPr>
          <w:rFonts w:hint="eastAsia" w:ascii="楷体" w:hAnsi="楷体" w:eastAsia="楷体"/>
          <w:b/>
          <w:sz w:val="36"/>
        </w:rPr>
        <w:t>日</w:t>
      </w:r>
    </w:p>
    <w:p w14:paraId="61D39278">
      <w:pPr>
        <w:pStyle w:val="11"/>
        <w:spacing w:before="0" w:beforeAutospacing="0" w:after="0" w:afterAutospacing="0" w:line="520" w:lineRule="exact"/>
        <w:jc w:val="center"/>
        <w:rPr>
          <w:rFonts w:hint="eastAsia" w:ascii="楷体" w:hAnsi="楷体" w:eastAsia="楷体"/>
          <w:b/>
          <w:sz w:val="36"/>
        </w:rPr>
      </w:pPr>
    </w:p>
    <w:p w14:paraId="52D0D498">
      <w:pPr>
        <w:pStyle w:val="11"/>
        <w:spacing w:before="0" w:beforeAutospacing="0" w:after="0" w:afterAutospacing="0" w:line="520" w:lineRule="exact"/>
        <w:jc w:val="center"/>
        <w:rPr>
          <w:rFonts w:hint="eastAsia" w:ascii="楷体" w:hAnsi="楷体" w:eastAsia="楷体"/>
          <w:b/>
          <w:sz w:val="36"/>
        </w:rPr>
      </w:pPr>
    </w:p>
    <w:p w14:paraId="24459BBB">
      <w:pPr>
        <w:spacing w:line="480" w:lineRule="auto"/>
        <w:jc w:val="center"/>
        <w:rPr>
          <w:rFonts w:hint="eastAsia" w:asciiTheme="minorEastAsia" w:hAnsiTheme="minorEastAsia" w:cstheme="minorEastAsia"/>
        </w:rPr>
      </w:pPr>
    </w:p>
    <w:p w14:paraId="32F207E2">
      <w:pPr>
        <w:pStyle w:val="5"/>
        <w:rPr>
          <w:rFonts w:hint="eastAsia"/>
        </w:rPr>
      </w:pPr>
    </w:p>
    <w:p w14:paraId="5409149A">
      <w:pPr>
        <w:spacing w:line="480" w:lineRule="auto"/>
        <w:jc w:val="center"/>
        <w:rPr>
          <w:rFonts w:asciiTheme="minorEastAsia" w:hAnsiTheme="minorEastAsia" w:cstheme="minorEastAsia"/>
        </w:rPr>
      </w:pPr>
      <w:r>
        <w:rPr>
          <w:rFonts w:hint="eastAsia" w:asciiTheme="minorEastAsia" w:hAnsiTheme="minorEastAsia" w:cstheme="minorEastAsia"/>
        </w:rPr>
        <w:t>天津市管道工程集团有限公司第八分公司</w:t>
      </w:r>
    </w:p>
    <w:p w14:paraId="4E456AC1">
      <w:pPr>
        <w:spacing w:line="480" w:lineRule="auto"/>
        <w:jc w:val="center"/>
        <w:rPr>
          <w:rFonts w:hint="eastAsia" w:asciiTheme="minorEastAsia" w:hAnsiTheme="minorEastAsia" w:cstheme="minorEastAsia"/>
          <w:sz w:val="24"/>
        </w:rPr>
      </w:pPr>
      <w:bookmarkStart w:id="0" w:name="OLE_LINK2"/>
      <w:bookmarkStart w:id="1" w:name="OLE_LINK1"/>
      <w:r>
        <w:rPr>
          <w:rFonts w:hint="eastAsia" w:asciiTheme="minorEastAsia" w:hAnsiTheme="minorEastAsia" w:cstheme="minorEastAsia"/>
          <w:sz w:val="24"/>
        </w:rPr>
        <w:t xml:space="preserve"> 引滦原水预处理厂工程施工（第2标段） </w:t>
      </w:r>
    </w:p>
    <w:bookmarkEnd w:id="0"/>
    <w:bookmarkEnd w:id="1"/>
    <w:p w14:paraId="2C792932">
      <w:pPr>
        <w:spacing w:line="480" w:lineRule="auto"/>
        <w:jc w:val="center"/>
        <w:rPr>
          <w:rFonts w:asciiTheme="minorEastAsia" w:hAnsiTheme="minorEastAsia" w:cstheme="minorEastAsia"/>
          <w:sz w:val="24"/>
        </w:rPr>
      </w:pPr>
      <w:r>
        <w:rPr>
          <w:rFonts w:hint="eastAsia" w:asciiTheme="minorEastAsia" w:hAnsiTheme="minorEastAsia" w:cstheme="minorEastAsia"/>
          <w:kern w:val="2"/>
          <w:sz w:val="24"/>
          <w:szCs w:val="24"/>
          <w:lang w:val="en-US" w:eastAsia="zh-CN" w:bidi="ar-SA"/>
        </w:rPr>
        <w:t>——</w:t>
      </w:r>
      <w:r>
        <w:rPr>
          <w:rFonts w:hint="eastAsia" w:asciiTheme="minorEastAsia" w:hAnsiTheme="minorEastAsia" w:eastAsiaTheme="minorEastAsia" w:cstheme="minorEastAsia"/>
          <w:kern w:val="2"/>
          <w:sz w:val="24"/>
          <w:szCs w:val="24"/>
          <w:lang w:val="en-US" w:eastAsia="zh-CN" w:bidi="ar-SA"/>
        </w:rPr>
        <w:t>总图阀门物资采购</w:t>
      </w:r>
      <w:r>
        <w:rPr>
          <w:rFonts w:hint="eastAsia" w:asciiTheme="minorEastAsia" w:hAnsiTheme="minorEastAsia" w:cstheme="minorEastAsia"/>
          <w:sz w:val="24"/>
          <w:lang w:eastAsia="zh-CN"/>
        </w:rPr>
        <w:t>招标文件</w:t>
      </w:r>
    </w:p>
    <w:p w14:paraId="08D92A47">
      <w:pPr>
        <w:spacing w:line="480" w:lineRule="auto"/>
        <w:jc w:val="center"/>
        <w:rPr>
          <w:rFonts w:asciiTheme="minorEastAsia" w:hAnsiTheme="minorEastAsia" w:cstheme="minorEastAsia"/>
        </w:rPr>
      </w:pPr>
    </w:p>
    <w:tbl>
      <w:tblPr>
        <w:tblStyle w:val="13"/>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1"/>
        <w:gridCol w:w="7889"/>
      </w:tblGrid>
      <w:tr w14:paraId="3E1C0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9180" w:type="dxa"/>
            <w:gridSpan w:val="2"/>
          </w:tcPr>
          <w:p w14:paraId="024D51F7">
            <w:pPr>
              <w:rPr>
                <w:rFonts w:asciiTheme="minorEastAsia" w:hAnsiTheme="minorEastAsia" w:cstheme="minorEastAsia"/>
              </w:rPr>
            </w:pPr>
            <w:r>
              <w:rPr>
                <w:rFonts w:hint="eastAsia" w:asciiTheme="minorEastAsia" w:hAnsiTheme="minorEastAsia" w:cstheme="minorEastAsia"/>
              </w:rPr>
              <w:t>一、项目需求及概况：</w:t>
            </w:r>
          </w:p>
        </w:tc>
      </w:tr>
      <w:tr w14:paraId="1C4C8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shd w:val="clear" w:color="auto" w:fill="auto"/>
            <w:vAlign w:val="center"/>
          </w:tcPr>
          <w:p w14:paraId="2C1EF86E">
            <w:pPr>
              <w:jc w:val="center"/>
              <w:rPr>
                <w:rFonts w:asciiTheme="minorEastAsia" w:hAnsiTheme="minorEastAsia" w:cstheme="minorEastAsia"/>
              </w:rPr>
            </w:pPr>
            <w:r>
              <w:rPr>
                <w:rFonts w:hint="eastAsia" w:asciiTheme="minorEastAsia" w:hAnsiTheme="minorEastAsia" w:cstheme="minorEastAsia"/>
              </w:rPr>
              <w:t>1、需求概况</w:t>
            </w:r>
          </w:p>
        </w:tc>
        <w:tc>
          <w:tcPr>
            <w:tcW w:w="7889" w:type="dxa"/>
            <w:shd w:val="clear" w:color="auto" w:fill="auto"/>
          </w:tcPr>
          <w:p w14:paraId="4D289D07">
            <w:pPr>
              <w:rPr>
                <w:rFonts w:hint="eastAsia" w:asciiTheme="minorEastAsia" w:hAnsiTheme="minorEastAsia" w:cstheme="minorEastAsia"/>
                <w:szCs w:val="21"/>
              </w:rPr>
            </w:pPr>
            <w:r>
              <w:rPr>
                <w:rFonts w:hint="eastAsia" w:asciiTheme="minorEastAsia" w:hAnsiTheme="minorEastAsia" w:cstheme="minorEastAsia"/>
                <w:szCs w:val="21"/>
              </w:rPr>
              <w:t>本次</w:t>
            </w:r>
            <w:r>
              <w:rPr>
                <w:rFonts w:hint="eastAsia" w:asciiTheme="minorEastAsia" w:hAnsiTheme="minorEastAsia" w:cstheme="minorEastAsia"/>
                <w:szCs w:val="21"/>
                <w:lang w:eastAsia="zh-CN"/>
              </w:rPr>
              <w:t>招标</w:t>
            </w:r>
            <w:r>
              <w:rPr>
                <w:rFonts w:hint="eastAsia" w:asciiTheme="minorEastAsia" w:hAnsiTheme="minorEastAsia" w:cstheme="minorEastAsia"/>
                <w:szCs w:val="21"/>
              </w:rPr>
              <w:t>范围为天津市管道工程集团有限公司第八分公司  引滦原水预处理厂工程施工（第2标段）</w:t>
            </w:r>
            <w:r>
              <w:rPr>
                <w:rFonts w:hint="eastAsia" w:asciiTheme="minorEastAsia" w:hAnsiTheme="minorEastAsia" w:cstheme="minorEastAsia"/>
                <w:szCs w:val="21"/>
                <w:lang w:val="en-US" w:eastAsia="zh-CN"/>
              </w:rPr>
              <w:t>——总图阀门物资采购</w:t>
            </w:r>
            <w:r>
              <w:rPr>
                <w:rFonts w:hint="eastAsia" w:asciiTheme="minorEastAsia" w:hAnsiTheme="minorEastAsia" w:cstheme="minorEastAsia"/>
                <w:szCs w:val="21"/>
              </w:rPr>
              <w:t>。</w:t>
            </w:r>
          </w:p>
          <w:p w14:paraId="59D70C19">
            <w:pPr>
              <w:rPr>
                <w:rFonts w:hint="eastAsia" w:asciiTheme="minorEastAsia" w:hAnsiTheme="minorEastAsia" w:eastAsiaTheme="minorEastAsia" w:cstheme="minorEastAsia"/>
                <w:lang w:eastAsia="zh-CN"/>
              </w:rPr>
            </w:pPr>
            <w:r>
              <w:rPr>
                <w:rFonts w:hint="eastAsia" w:asciiTheme="minorEastAsia" w:hAnsiTheme="minorEastAsia" w:cstheme="minorEastAsia"/>
                <w:szCs w:val="21"/>
              </w:rPr>
              <w:t>具体内容为：见附件</w:t>
            </w:r>
            <w:r>
              <w:rPr>
                <w:rFonts w:hint="eastAsia" w:asciiTheme="minorEastAsia" w:hAnsiTheme="minorEastAsia" w:cstheme="minorEastAsia"/>
                <w:szCs w:val="21"/>
                <w:lang w:val="en-US" w:eastAsia="zh-CN"/>
              </w:rPr>
              <w:t>6</w:t>
            </w:r>
            <w:r>
              <w:rPr>
                <w:rFonts w:hint="eastAsia" w:asciiTheme="minorEastAsia" w:hAnsiTheme="minorEastAsia" w:cstheme="minorEastAsia"/>
                <w:szCs w:val="21"/>
                <w:lang w:eastAsia="zh-CN"/>
              </w:rPr>
              <w:t>。</w:t>
            </w:r>
          </w:p>
        </w:tc>
      </w:tr>
      <w:tr w14:paraId="3F9E8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9180" w:type="dxa"/>
            <w:gridSpan w:val="2"/>
            <w:vAlign w:val="center"/>
          </w:tcPr>
          <w:p w14:paraId="6B61455C">
            <w:pPr>
              <w:rPr>
                <w:rFonts w:asciiTheme="minorEastAsia" w:hAnsiTheme="minorEastAsia" w:cstheme="minorEastAsia"/>
              </w:rPr>
            </w:pPr>
            <w:r>
              <w:rPr>
                <w:rFonts w:hint="eastAsia" w:asciiTheme="minorEastAsia" w:hAnsiTheme="minorEastAsia" w:cstheme="minorEastAsia"/>
              </w:rPr>
              <w:t>二、</w:t>
            </w:r>
            <w:r>
              <w:rPr>
                <w:rFonts w:hint="eastAsia" w:asciiTheme="minorEastAsia" w:hAnsiTheme="minorEastAsia" w:cstheme="minorEastAsia"/>
                <w:lang w:eastAsia="zh-CN"/>
              </w:rPr>
              <w:t>投标</w:t>
            </w:r>
            <w:r>
              <w:rPr>
                <w:rFonts w:hint="eastAsia" w:asciiTheme="minorEastAsia" w:hAnsiTheme="minorEastAsia" w:cstheme="minorEastAsia"/>
              </w:rPr>
              <w:t>人资质要求：</w:t>
            </w:r>
          </w:p>
        </w:tc>
      </w:tr>
      <w:tr w14:paraId="19BCE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trPr>
        <w:tc>
          <w:tcPr>
            <w:tcW w:w="1291" w:type="dxa"/>
            <w:vMerge w:val="restart"/>
            <w:vAlign w:val="center"/>
          </w:tcPr>
          <w:p w14:paraId="557FE749">
            <w:pPr>
              <w:jc w:val="center"/>
              <w:rPr>
                <w:rFonts w:hint="eastAsia" w:asciiTheme="minorEastAsia" w:hAnsiTheme="minorEastAsia" w:eastAsiaTheme="minorEastAsia" w:cstheme="minorEastAsia"/>
                <w:lang w:eastAsia="zh-CN"/>
              </w:rPr>
            </w:pPr>
            <w:r>
              <w:rPr>
                <w:rFonts w:hint="eastAsia" w:asciiTheme="minorEastAsia" w:hAnsiTheme="minorEastAsia" w:cstheme="minorEastAsia"/>
              </w:rPr>
              <w:t>1、</w:t>
            </w:r>
            <w:r>
              <w:rPr>
                <w:rFonts w:hint="eastAsia" w:asciiTheme="minorEastAsia" w:hAnsiTheme="minorEastAsia" w:cstheme="minorEastAsia"/>
                <w:lang w:eastAsia="zh-CN"/>
              </w:rPr>
              <w:t>资格要求</w:t>
            </w:r>
          </w:p>
        </w:tc>
        <w:tc>
          <w:tcPr>
            <w:tcW w:w="7889" w:type="dxa"/>
            <w:vMerge w:val="restart"/>
          </w:tcPr>
          <w:p w14:paraId="4F4E8006">
            <w:pPr>
              <w:rPr>
                <w:rFonts w:asciiTheme="minorEastAsia" w:hAnsiTheme="minorEastAsia" w:cstheme="minorEastAsia"/>
              </w:rPr>
            </w:pPr>
            <w:r>
              <w:rPr>
                <w:rFonts w:hint="eastAsia" w:asciiTheme="minorEastAsia" w:hAnsiTheme="minorEastAsia" w:cstheme="minorEastAsia"/>
              </w:rPr>
              <w:t>1.1：应具有在中华人民共和国境内注册的具有独立法人资格的营业执照，且在有效期内，具有良好的商业信誉；</w:t>
            </w:r>
          </w:p>
          <w:p w14:paraId="11924FE8">
            <w:pPr>
              <w:rPr>
                <w:rFonts w:asciiTheme="minorEastAsia" w:hAnsiTheme="minorEastAsia" w:cstheme="minorEastAsia"/>
              </w:rPr>
            </w:pPr>
            <w:r>
              <w:rPr>
                <w:rFonts w:hint="eastAsia" w:asciiTheme="minorEastAsia" w:hAnsiTheme="minorEastAsia" w:cstheme="minorEastAsia"/>
              </w:rPr>
              <w:t>1.2：</w:t>
            </w:r>
            <w:r>
              <w:rPr>
                <w:rFonts w:hint="eastAsia" w:asciiTheme="minorEastAsia" w:hAnsiTheme="minorEastAsia" w:cstheme="minorEastAsia"/>
                <w:lang w:eastAsia="zh-CN"/>
              </w:rPr>
              <w:t>投标</w:t>
            </w:r>
            <w:r>
              <w:rPr>
                <w:rFonts w:hint="eastAsia" w:asciiTheme="minorEastAsia" w:hAnsiTheme="minorEastAsia" w:cstheme="minorEastAsia"/>
              </w:rPr>
              <w:t>人应为水务集团合格供应商（“津水云采”平台注册审核通过并购买CA证书且为激活状态的供应商）（合格供应商注册网址：http://www.jinshuiyuncai.com/）</w:t>
            </w:r>
          </w:p>
          <w:p w14:paraId="72045734">
            <w:pPr>
              <w:rPr>
                <w:rFonts w:asciiTheme="minorEastAsia" w:hAnsiTheme="minorEastAsia" w:cstheme="minorEastAsia"/>
              </w:rPr>
            </w:pPr>
            <w:r>
              <w:rPr>
                <w:rFonts w:hint="eastAsia" w:asciiTheme="minorEastAsia" w:hAnsiTheme="minorEastAsia" w:cstheme="minorEastAsia"/>
              </w:rPr>
              <w:t>1.3：未被列入“信用中国”网站(www.creditchina.gov.cn)等渠道查询信用记录失信被执行人、重大税收违法案件当事人名单、政府采购严重违法失信行为记录名单。</w:t>
            </w:r>
          </w:p>
        </w:tc>
      </w:tr>
      <w:tr w14:paraId="4FE51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1291" w:type="dxa"/>
            <w:vMerge w:val="continue"/>
            <w:vAlign w:val="center"/>
          </w:tcPr>
          <w:p w14:paraId="5E7C1144">
            <w:pPr>
              <w:jc w:val="center"/>
              <w:rPr>
                <w:rFonts w:asciiTheme="minorEastAsia" w:hAnsiTheme="minorEastAsia" w:cstheme="minorEastAsia"/>
              </w:rPr>
            </w:pPr>
          </w:p>
        </w:tc>
        <w:tc>
          <w:tcPr>
            <w:tcW w:w="7889" w:type="dxa"/>
            <w:vMerge w:val="continue"/>
          </w:tcPr>
          <w:p w14:paraId="22F625EB">
            <w:pPr>
              <w:rPr>
                <w:rFonts w:asciiTheme="minorEastAsia" w:hAnsiTheme="minorEastAsia" w:cstheme="minorEastAsia"/>
              </w:rPr>
            </w:pPr>
          </w:p>
        </w:tc>
      </w:tr>
      <w:tr w14:paraId="3E56C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291" w:type="dxa"/>
            <w:vMerge w:val="continue"/>
            <w:tcBorders>
              <w:bottom w:val="single" w:color="auto" w:sz="4" w:space="0"/>
            </w:tcBorders>
            <w:vAlign w:val="center"/>
          </w:tcPr>
          <w:p w14:paraId="66E74F8B">
            <w:pPr>
              <w:jc w:val="center"/>
              <w:rPr>
                <w:rFonts w:asciiTheme="minorEastAsia" w:hAnsiTheme="minorEastAsia" w:cstheme="minorEastAsia"/>
              </w:rPr>
            </w:pPr>
          </w:p>
        </w:tc>
        <w:tc>
          <w:tcPr>
            <w:tcW w:w="7889" w:type="dxa"/>
            <w:vMerge w:val="continue"/>
            <w:tcBorders>
              <w:bottom w:val="single" w:color="auto" w:sz="4" w:space="0"/>
            </w:tcBorders>
          </w:tcPr>
          <w:p w14:paraId="770C55D2">
            <w:pPr>
              <w:rPr>
                <w:rFonts w:asciiTheme="minorEastAsia" w:hAnsiTheme="minorEastAsia" w:cstheme="minorEastAsia"/>
              </w:rPr>
            </w:pPr>
          </w:p>
        </w:tc>
      </w:tr>
      <w:tr w14:paraId="11A86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0" w:hRule="atLeast"/>
        </w:trPr>
        <w:tc>
          <w:tcPr>
            <w:tcW w:w="1291" w:type="dxa"/>
            <w:shd w:val="clear" w:color="auto" w:fill="FFFFFF" w:themeFill="background1"/>
            <w:vAlign w:val="center"/>
          </w:tcPr>
          <w:p w14:paraId="6E96128A">
            <w:pPr>
              <w:jc w:val="center"/>
              <w:rPr>
                <w:rFonts w:asciiTheme="minorEastAsia" w:hAnsiTheme="minorEastAsia" w:cstheme="minorEastAsia"/>
              </w:rPr>
            </w:pPr>
            <w:r>
              <w:rPr>
                <w:rFonts w:hint="eastAsia" w:asciiTheme="minorEastAsia" w:hAnsiTheme="minorEastAsia" w:cstheme="minorEastAsia"/>
              </w:rPr>
              <w:t>2、其他</w:t>
            </w:r>
            <w:r>
              <w:rPr>
                <w:rFonts w:hint="eastAsia" w:asciiTheme="minorEastAsia" w:hAnsiTheme="minorEastAsia" w:cstheme="minorEastAsia"/>
                <w:lang w:eastAsia="zh-CN"/>
              </w:rPr>
              <w:t>资格</w:t>
            </w:r>
            <w:r>
              <w:rPr>
                <w:rFonts w:hint="eastAsia" w:asciiTheme="minorEastAsia" w:hAnsiTheme="minorEastAsia" w:cstheme="minorEastAsia"/>
              </w:rPr>
              <w:t>要求</w:t>
            </w:r>
          </w:p>
        </w:tc>
        <w:tc>
          <w:tcPr>
            <w:tcW w:w="7889" w:type="dxa"/>
            <w:shd w:val="clear" w:color="auto" w:fill="FFFFFF" w:themeFill="background1"/>
          </w:tcPr>
          <w:p w14:paraId="66318FCF">
            <w:pPr>
              <w:rPr>
                <w:rFonts w:asciiTheme="minorEastAsia" w:hAnsiTheme="minorEastAsia" w:cstheme="minorEastAsia"/>
              </w:rPr>
            </w:pPr>
            <w:r>
              <w:rPr>
                <w:rFonts w:hint="eastAsia" w:asciiTheme="minorEastAsia" w:hAnsiTheme="minorEastAsia" w:cstheme="minorEastAsia"/>
              </w:rPr>
              <w:t>2.1：</w:t>
            </w:r>
            <w:r>
              <w:rPr>
                <w:rFonts w:hint="eastAsia" w:asciiTheme="minorEastAsia" w:hAnsiTheme="minorEastAsia" w:cstheme="minorEastAsia"/>
                <w:lang w:eastAsia="zh-CN"/>
              </w:rPr>
              <w:t>投标</w:t>
            </w:r>
            <w:r>
              <w:rPr>
                <w:rFonts w:hint="eastAsia" w:asciiTheme="minorEastAsia" w:hAnsiTheme="minorEastAsia" w:cstheme="minorEastAsia"/>
              </w:rPr>
              <w:t>人须为</w:t>
            </w:r>
            <w:r>
              <w:rPr>
                <w:rFonts w:hint="eastAsia" w:asciiTheme="minorEastAsia" w:hAnsiTheme="minorEastAsia" w:cstheme="minorEastAsia"/>
                <w:szCs w:val="21"/>
              </w:rPr>
              <w:t>专业的</w:t>
            </w:r>
            <w:r>
              <w:rPr>
                <w:rFonts w:hint="eastAsia" w:asciiTheme="minorEastAsia" w:hAnsiTheme="minorEastAsia" w:cstheme="minorEastAsia"/>
                <w:szCs w:val="21"/>
                <w:shd w:val="clear" w:fill="FFFFFF" w:themeFill="background1"/>
              </w:rPr>
              <w:t>设备生产商或</w:t>
            </w:r>
            <w:r>
              <w:rPr>
                <w:rFonts w:hint="eastAsia" w:asciiTheme="minorEastAsia" w:hAnsiTheme="minorEastAsia" w:cstheme="minorEastAsia"/>
                <w:szCs w:val="21"/>
                <w:shd w:val="clear" w:fill="FFFFFF" w:themeFill="background1"/>
                <w:lang w:eastAsia="zh-CN"/>
              </w:rPr>
              <w:t>授权</w:t>
            </w:r>
            <w:r>
              <w:rPr>
                <w:rFonts w:hint="eastAsia" w:asciiTheme="minorEastAsia" w:hAnsiTheme="minorEastAsia" w:cstheme="minorEastAsia"/>
                <w:szCs w:val="21"/>
                <w:shd w:val="clear" w:fill="FFFFFF" w:themeFill="background1"/>
              </w:rPr>
              <w:t>代理</w:t>
            </w:r>
            <w:r>
              <w:rPr>
                <w:rFonts w:hint="eastAsia" w:asciiTheme="minorEastAsia" w:hAnsiTheme="minorEastAsia" w:cstheme="minorEastAsia"/>
                <w:szCs w:val="21"/>
              </w:rPr>
              <w:t>商</w:t>
            </w:r>
            <w:r>
              <w:rPr>
                <w:rFonts w:hint="eastAsia" w:asciiTheme="minorEastAsia" w:hAnsiTheme="minorEastAsia" w:cstheme="minorEastAsia"/>
              </w:rPr>
              <w:t>。营业执照在有效期内，具有独立订立合同的资格。</w:t>
            </w:r>
          </w:p>
          <w:p w14:paraId="3D3F3091">
            <w:pPr>
              <w:rPr>
                <w:rFonts w:asciiTheme="minorEastAsia" w:hAnsiTheme="minorEastAsia" w:cstheme="minorEastAsia"/>
              </w:rPr>
            </w:pPr>
            <w:r>
              <w:rPr>
                <w:rFonts w:hint="eastAsia" w:asciiTheme="minorEastAsia" w:hAnsiTheme="minorEastAsia" w:cstheme="minorEastAsia"/>
              </w:rPr>
              <w:t>2.2：一经发现报价单位有围标、串标行为，做废标处理，上报上级单位，申请撤销涉事单位管道集团、水务集团合格供应商资格，同时禁止参与我公司招标项目1年。</w:t>
            </w:r>
            <w:r>
              <w:rPr>
                <w:rFonts w:asciiTheme="minorEastAsia" w:hAnsiTheme="minorEastAsia" w:cstheme="minorEastAsia"/>
              </w:rPr>
              <w:t xml:space="preserve">  </w:t>
            </w:r>
          </w:p>
        </w:tc>
      </w:tr>
      <w:tr w14:paraId="65FF8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trPr>
        <w:tc>
          <w:tcPr>
            <w:tcW w:w="1291" w:type="dxa"/>
            <w:shd w:val="clear" w:color="auto" w:fill="auto"/>
            <w:vAlign w:val="center"/>
          </w:tcPr>
          <w:p w14:paraId="35AAFBFF">
            <w:pPr>
              <w:spacing w:line="360" w:lineRule="auto"/>
              <w:jc w:val="left"/>
              <w:rPr>
                <w:rFonts w:hint="eastAsia" w:ascii="宋体" w:hAnsi="宋体" w:eastAsiaTheme="minorEastAsia" w:cstheme="minorBidi"/>
                <w:kern w:val="2"/>
                <w:sz w:val="21"/>
                <w:szCs w:val="24"/>
                <w:lang w:val="en-US" w:eastAsia="zh-CN" w:bidi="ar-SA"/>
              </w:rPr>
            </w:pPr>
            <w:r>
              <w:rPr>
                <w:rFonts w:hint="eastAsia" w:ascii="宋体" w:hAnsi="宋体"/>
                <w:lang w:val="en-US" w:eastAsia="zh-CN"/>
              </w:rPr>
              <w:t>3、</w:t>
            </w:r>
            <w:r>
              <w:rPr>
                <w:rFonts w:ascii="宋体" w:hAnsi="宋体"/>
              </w:rPr>
              <w:t>资格</w:t>
            </w:r>
            <w:r>
              <w:rPr>
                <w:rFonts w:hint="eastAsia" w:ascii="宋体" w:hAnsi="宋体"/>
                <w:lang w:eastAsia="zh-CN"/>
              </w:rPr>
              <w:t>后审</w:t>
            </w:r>
          </w:p>
        </w:tc>
        <w:tc>
          <w:tcPr>
            <w:tcW w:w="7889" w:type="dxa"/>
            <w:shd w:val="clear" w:color="auto" w:fill="auto"/>
            <w:vAlign w:val="center"/>
          </w:tcPr>
          <w:p w14:paraId="0398A2CE">
            <w:pPr>
              <w:spacing w:line="360" w:lineRule="auto"/>
              <w:jc w:val="left"/>
              <w:rPr>
                <w:rFonts w:hint="eastAsia" w:ascii="宋体" w:hAnsi="宋体" w:eastAsiaTheme="minorEastAsia" w:cstheme="minorBidi"/>
                <w:kern w:val="2"/>
                <w:sz w:val="21"/>
                <w:szCs w:val="24"/>
                <w:lang w:val="en-US" w:eastAsia="zh-CN" w:bidi="ar-SA"/>
              </w:rPr>
            </w:pPr>
            <w:r>
              <w:rPr>
                <w:rFonts w:hint="eastAsia" w:ascii="宋体" w:hAnsi="宋体"/>
              </w:rPr>
              <w:t>开标时现场进行资格</w:t>
            </w:r>
            <w:r>
              <w:rPr>
                <w:rFonts w:hint="eastAsia" w:ascii="宋体" w:hAnsi="宋体"/>
                <w:lang w:eastAsia="zh-CN"/>
              </w:rPr>
              <w:t>审查</w:t>
            </w:r>
            <w:r>
              <w:rPr>
                <w:rFonts w:hint="eastAsia" w:ascii="宋体" w:hAnsi="宋体"/>
              </w:rPr>
              <w:t>。</w:t>
            </w:r>
          </w:p>
        </w:tc>
      </w:tr>
      <w:tr w14:paraId="2F488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9180" w:type="dxa"/>
            <w:gridSpan w:val="2"/>
          </w:tcPr>
          <w:p w14:paraId="3C5238B2">
            <w:pPr>
              <w:rPr>
                <w:rFonts w:asciiTheme="minorEastAsia" w:hAnsiTheme="minorEastAsia" w:cstheme="minorEastAsia"/>
              </w:rPr>
            </w:pPr>
            <w:r>
              <w:rPr>
                <w:rFonts w:hint="eastAsia" w:asciiTheme="minorEastAsia" w:hAnsiTheme="minorEastAsia" w:cstheme="minorEastAsia"/>
              </w:rPr>
              <w:t>三、项</w:t>
            </w:r>
            <w:r>
              <w:rPr>
                <w:rFonts w:hint="eastAsia" w:asciiTheme="minorEastAsia" w:hAnsiTheme="minorEastAsia" w:cstheme="minorEastAsia"/>
                <w:highlight w:val="none"/>
              </w:rPr>
              <w:t>目控制价</w:t>
            </w:r>
            <w:r>
              <w:rPr>
                <w:rFonts w:hint="eastAsia" w:asciiTheme="minorEastAsia" w:hAnsiTheme="minorEastAsia" w:cstheme="minorEastAsia"/>
                <w:highlight w:val="none"/>
                <w:lang w:eastAsia="zh-CN"/>
              </w:rPr>
              <w:t>：</w:t>
            </w:r>
            <w:r>
              <w:rPr>
                <w:rFonts w:hint="eastAsia" w:asciiTheme="minorEastAsia" w:hAnsiTheme="minorEastAsia" w:cstheme="minorEastAsia"/>
                <w:szCs w:val="21"/>
                <w:lang w:val="en-US" w:eastAsia="zh-CN"/>
              </w:rPr>
              <w:t>355.690</w:t>
            </w:r>
            <w:r>
              <w:rPr>
                <w:rFonts w:hint="eastAsia" w:ascii="宋体" w:hAnsi="宋体"/>
                <w:lang w:val="en-US" w:eastAsia="zh-CN"/>
              </w:rPr>
              <w:t>612</w:t>
            </w:r>
            <w:r>
              <w:rPr>
                <w:rFonts w:hint="eastAsia" w:ascii="宋体" w:hAnsi="宋体"/>
              </w:rPr>
              <w:t>万元（含税价）</w:t>
            </w:r>
            <w:r>
              <w:rPr>
                <w:rFonts w:hint="eastAsia" w:asciiTheme="minorEastAsia" w:hAnsiTheme="minorEastAsia" w:cstheme="minorEastAsia"/>
              </w:rPr>
              <w:t>。</w:t>
            </w:r>
          </w:p>
        </w:tc>
      </w:tr>
      <w:tr w14:paraId="34708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9180" w:type="dxa"/>
            <w:gridSpan w:val="2"/>
          </w:tcPr>
          <w:p w14:paraId="48D883C3">
            <w:pPr>
              <w:rPr>
                <w:rFonts w:hint="eastAsia" w:asciiTheme="minorEastAsia" w:hAnsiTheme="minorEastAsia" w:eastAsiaTheme="minorEastAsia" w:cstheme="minorEastAsia"/>
                <w:lang w:val="en-US" w:eastAsia="zh-CN"/>
              </w:rPr>
            </w:pPr>
            <w:r>
              <w:rPr>
                <w:rFonts w:hint="eastAsia" w:asciiTheme="minorEastAsia" w:hAnsiTheme="minorEastAsia" w:cstheme="minorEastAsia"/>
              </w:rPr>
              <w:t>四、</w:t>
            </w:r>
            <w:r>
              <w:rPr>
                <w:rFonts w:hint="eastAsia" w:asciiTheme="minorEastAsia" w:hAnsiTheme="minorEastAsia" w:cstheme="minorEastAsia"/>
                <w:lang w:eastAsia="zh-CN"/>
              </w:rPr>
              <w:t>评标</w:t>
            </w:r>
            <w:r>
              <w:rPr>
                <w:rFonts w:hint="eastAsia" w:asciiTheme="minorEastAsia" w:hAnsiTheme="minorEastAsia" w:cstheme="minorEastAsia"/>
              </w:rPr>
              <w:t>方式：合理低价法</w:t>
            </w:r>
            <w:r>
              <w:rPr>
                <w:rFonts w:hint="eastAsia" w:asciiTheme="minorEastAsia" w:hAnsiTheme="minorEastAsia" w:cstheme="minorEastAsia"/>
                <w:lang w:eastAsia="zh-CN"/>
              </w:rPr>
              <w:t>。</w:t>
            </w:r>
          </w:p>
        </w:tc>
      </w:tr>
      <w:tr w14:paraId="4053E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trPr>
        <w:tc>
          <w:tcPr>
            <w:tcW w:w="1291" w:type="dxa"/>
            <w:vAlign w:val="center"/>
          </w:tcPr>
          <w:p w14:paraId="2CF0CBB1">
            <w:pPr>
              <w:jc w:val="center"/>
              <w:rPr>
                <w:rFonts w:asciiTheme="minorEastAsia" w:hAnsiTheme="minorEastAsia" w:cstheme="minorEastAsia"/>
              </w:rPr>
            </w:pPr>
            <w:r>
              <w:rPr>
                <w:rFonts w:hint="eastAsia" w:asciiTheme="minorEastAsia" w:hAnsiTheme="minorEastAsia" w:cstheme="minorEastAsia"/>
              </w:rPr>
              <w:t>1、声明</w:t>
            </w:r>
          </w:p>
        </w:tc>
        <w:tc>
          <w:tcPr>
            <w:tcW w:w="7889" w:type="dxa"/>
          </w:tcPr>
          <w:p w14:paraId="34D1E0A2">
            <w:pPr>
              <w:rPr>
                <w:rFonts w:asciiTheme="minorEastAsia" w:hAnsiTheme="minorEastAsia" w:cstheme="minorEastAsia"/>
              </w:rPr>
            </w:pPr>
            <w:r>
              <w:rPr>
                <w:rFonts w:hint="eastAsia" w:asciiTheme="minorEastAsia" w:hAnsiTheme="minorEastAsia" w:cstheme="minorEastAsia"/>
              </w:rPr>
              <w:t>对于可能影响履约的异常低价，供应商应进行澄清，对于不能出具报价合理性说明或保证履约承诺的，采购单位有权否决供应商报价。</w:t>
            </w:r>
          </w:p>
        </w:tc>
      </w:tr>
      <w:tr w14:paraId="22D69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9180" w:type="dxa"/>
            <w:gridSpan w:val="2"/>
          </w:tcPr>
          <w:p w14:paraId="0374AAF7">
            <w:pPr>
              <w:rPr>
                <w:rFonts w:hint="default" w:asciiTheme="minorEastAsia" w:hAnsiTheme="minorEastAsia" w:eastAsiaTheme="minorEastAsia" w:cstheme="minorEastAsia"/>
                <w:lang w:val="en-US" w:eastAsia="zh-CN"/>
              </w:rPr>
            </w:pPr>
            <w:r>
              <w:rPr>
                <w:rFonts w:hint="eastAsia" w:asciiTheme="minorEastAsia" w:hAnsiTheme="minorEastAsia" w:cstheme="minorEastAsia"/>
              </w:rPr>
              <w:t>五、</w:t>
            </w:r>
            <w:r>
              <w:rPr>
                <w:rFonts w:hint="eastAsia" w:asciiTheme="minorEastAsia" w:hAnsiTheme="minorEastAsia" w:cstheme="minorEastAsia"/>
                <w:lang w:eastAsia="zh-CN"/>
              </w:rPr>
              <w:t>供货时间要求</w:t>
            </w:r>
            <w:r>
              <w:rPr>
                <w:rFonts w:hint="eastAsia" w:asciiTheme="minorEastAsia" w:hAnsiTheme="minorEastAsia" w:cstheme="minorEastAsia"/>
              </w:rPr>
              <w:t>：</w:t>
            </w:r>
            <w:r>
              <w:rPr>
                <w:rFonts w:hint="eastAsia" w:asciiTheme="minorEastAsia" w:hAnsiTheme="minorEastAsia" w:cstheme="minorEastAsia"/>
                <w:shd w:val="clear"/>
                <w:lang w:val="en-US" w:eastAsia="zh-CN"/>
              </w:rPr>
              <w:t>2025年12月15日前。</w:t>
            </w:r>
          </w:p>
        </w:tc>
      </w:tr>
      <w:tr w14:paraId="66E76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180" w:type="dxa"/>
            <w:gridSpan w:val="2"/>
          </w:tcPr>
          <w:p w14:paraId="07E3C8E1">
            <w:pPr>
              <w:rPr>
                <w:rFonts w:hint="default" w:asciiTheme="minorEastAsia" w:hAnsiTheme="minorEastAsia" w:eastAsiaTheme="minorEastAsia" w:cstheme="minorEastAsia"/>
                <w:lang w:val="en-US" w:eastAsia="zh-CN"/>
              </w:rPr>
            </w:pPr>
            <w:r>
              <w:rPr>
                <w:rFonts w:hint="eastAsia" w:asciiTheme="minorEastAsia" w:hAnsiTheme="minorEastAsia" w:cstheme="minorEastAsia"/>
              </w:rPr>
              <w:t>六、付款方式：</w:t>
            </w:r>
            <w:r>
              <w:rPr>
                <w:rFonts w:hint="eastAsia" w:asciiTheme="minorEastAsia" w:hAnsiTheme="minorEastAsia" w:cstheme="minorEastAsia"/>
                <w:lang w:eastAsia="zh-CN"/>
              </w:rPr>
              <w:t>签订合同后付</w:t>
            </w:r>
            <w:r>
              <w:rPr>
                <w:rFonts w:hint="eastAsia" w:asciiTheme="minorEastAsia" w:hAnsiTheme="minorEastAsia" w:cstheme="minorEastAsia"/>
                <w:lang w:val="en-US" w:eastAsia="zh-CN"/>
              </w:rPr>
              <w:t>30%，到货验收合格后付至合同值的80%，安装调试合格后付至合同的97%，余3%质保，</w:t>
            </w:r>
            <w:r>
              <w:rPr>
                <w:rFonts w:hint="eastAsia" w:asciiTheme="minorEastAsia" w:hAnsiTheme="minorEastAsia" w:cstheme="minorEastAsia"/>
              </w:rPr>
              <w:t>最终以合同签订为准。</w:t>
            </w:r>
          </w:p>
        </w:tc>
      </w:tr>
      <w:tr w14:paraId="500C7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9180" w:type="dxa"/>
            <w:gridSpan w:val="2"/>
          </w:tcPr>
          <w:p w14:paraId="09594E39">
            <w:pPr>
              <w:rPr>
                <w:rFonts w:asciiTheme="minorEastAsia" w:hAnsiTheme="minorEastAsia" w:cstheme="minorEastAsia"/>
              </w:rPr>
            </w:pPr>
            <w:r>
              <w:rPr>
                <w:rFonts w:hint="eastAsia" w:asciiTheme="minorEastAsia" w:hAnsiTheme="minorEastAsia" w:cstheme="minorEastAsia"/>
              </w:rPr>
              <w:t>七、时间要求：</w:t>
            </w:r>
          </w:p>
        </w:tc>
      </w:tr>
      <w:tr w14:paraId="352BC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4EADA85F">
            <w:pPr>
              <w:jc w:val="center"/>
              <w:rPr>
                <w:rFonts w:asciiTheme="minorEastAsia" w:hAnsiTheme="minorEastAsia" w:cstheme="minorEastAsia"/>
              </w:rPr>
            </w:pPr>
            <w:r>
              <w:rPr>
                <w:rFonts w:hint="eastAsia" w:asciiTheme="minorEastAsia" w:hAnsiTheme="minorEastAsia" w:cstheme="minorEastAsia"/>
              </w:rPr>
              <w:t>1、</w:t>
            </w:r>
            <w:r>
              <w:rPr>
                <w:rFonts w:hint="eastAsia" w:asciiTheme="minorEastAsia" w:hAnsiTheme="minorEastAsia" w:cstheme="minorEastAsia"/>
                <w:lang w:eastAsia="zh-CN"/>
              </w:rPr>
              <w:t>投标</w:t>
            </w:r>
            <w:r>
              <w:rPr>
                <w:rFonts w:hint="eastAsia" w:asciiTheme="minorEastAsia" w:hAnsiTheme="minorEastAsia" w:cstheme="minorEastAsia"/>
              </w:rPr>
              <w:t>起止时间</w:t>
            </w:r>
          </w:p>
        </w:tc>
        <w:tc>
          <w:tcPr>
            <w:tcW w:w="7889" w:type="dxa"/>
          </w:tcPr>
          <w:p w14:paraId="4ACF6E08">
            <w:pPr>
              <w:rPr>
                <w:rFonts w:asciiTheme="minorEastAsia" w:hAnsiTheme="minorEastAsia" w:cstheme="minorEastAsia"/>
              </w:rPr>
            </w:pPr>
            <w:r>
              <w:rPr>
                <w:rFonts w:hint="eastAsia" w:asciiTheme="minorEastAsia" w:hAnsiTheme="minorEastAsia" w:cstheme="minorEastAsia"/>
                <w:szCs w:val="21"/>
              </w:rPr>
              <w:t>2025年</w:t>
            </w:r>
            <w:r>
              <w:rPr>
                <w:rFonts w:hint="eastAsia" w:asciiTheme="minorEastAsia" w:hAnsiTheme="minorEastAsia" w:cstheme="minorEastAsia"/>
                <w:szCs w:val="21"/>
                <w:lang w:val="en-US" w:eastAsia="zh-CN"/>
              </w:rPr>
              <w:t>10</w:t>
            </w:r>
            <w:r>
              <w:rPr>
                <w:rFonts w:hint="eastAsia" w:asciiTheme="minorEastAsia" w:hAnsiTheme="minorEastAsia" w:cstheme="minorEastAsia"/>
                <w:szCs w:val="21"/>
              </w:rPr>
              <w:t>月</w:t>
            </w:r>
            <w:r>
              <w:rPr>
                <w:rFonts w:hint="eastAsia" w:asciiTheme="minorEastAsia" w:hAnsiTheme="minorEastAsia" w:cstheme="minorEastAsia"/>
                <w:szCs w:val="21"/>
                <w:lang w:val="en-US" w:eastAsia="zh-CN"/>
              </w:rPr>
              <w:t>21</w:t>
            </w:r>
            <w:r>
              <w:rPr>
                <w:rFonts w:hint="eastAsia" w:asciiTheme="minorEastAsia" w:hAnsiTheme="minorEastAsia" w:cstheme="minorEastAsia"/>
                <w:szCs w:val="21"/>
              </w:rPr>
              <w:t>日</w:t>
            </w:r>
            <w:r>
              <w:rPr>
                <w:rFonts w:hint="eastAsia" w:asciiTheme="minorEastAsia" w:hAnsiTheme="minorEastAsia" w:cstheme="minorEastAsia"/>
                <w:szCs w:val="21"/>
                <w:lang w:val="en-US" w:eastAsia="zh-CN"/>
              </w:rPr>
              <w:t>09</w:t>
            </w:r>
            <w:r>
              <w:rPr>
                <w:rFonts w:hint="eastAsia" w:asciiTheme="minorEastAsia" w:hAnsiTheme="minorEastAsia" w:cstheme="minorEastAsia"/>
                <w:szCs w:val="21"/>
              </w:rPr>
              <w:t>时至2025年</w:t>
            </w:r>
            <w:r>
              <w:rPr>
                <w:rFonts w:hint="eastAsia" w:asciiTheme="minorEastAsia" w:hAnsiTheme="minorEastAsia" w:cstheme="minorEastAsia"/>
                <w:szCs w:val="21"/>
                <w:lang w:val="en-US" w:eastAsia="zh-CN"/>
              </w:rPr>
              <w:t>10</w:t>
            </w:r>
            <w:bookmarkStart w:id="3" w:name="_GoBack"/>
            <w:bookmarkEnd w:id="3"/>
            <w:r>
              <w:rPr>
                <w:rFonts w:hint="eastAsia" w:asciiTheme="minorEastAsia" w:hAnsiTheme="minorEastAsia" w:cstheme="minorEastAsia"/>
                <w:szCs w:val="21"/>
              </w:rPr>
              <w:t>月</w:t>
            </w:r>
            <w:r>
              <w:rPr>
                <w:rFonts w:hint="eastAsia" w:asciiTheme="minorEastAsia" w:hAnsiTheme="minorEastAsia" w:cstheme="minorEastAsia"/>
                <w:szCs w:val="21"/>
                <w:lang w:val="en-US" w:eastAsia="zh-CN"/>
              </w:rPr>
              <w:t>28</w:t>
            </w:r>
            <w:r>
              <w:rPr>
                <w:rFonts w:hint="eastAsia" w:asciiTheme="minorEastAsia" w:hAnsiTheme="minorEastAsia" w:cstheme="minorEastAsia"/>
                <w:szCs w:val="21"/>
              </w:rPr>
              <w:t>日</w:t>
            </w:r>
            <w:r>
              <w:rPr>
                <w:rFonts w:hint="eastAsia" w:asciiTheme="minorEastAsia" w:hAnsiTheme="minorEastAsia" w:cstheme="minorEastAsia"/>
                <w:szCs w:val="21"/>
                <w:lang w:val="en-US" w:eastAsia="zh-CN"/>
              </w:rPr>
              <w:t>10</w:t>
            </w:r>
            <w:r>
              <w:rPr>
                <w:rFonts w:hint="eastAsia" w:asciiTheme="minorEastAsia" w:hAnsiTheme="minorEastAsia" w:cstheme="minorEastAsia"/>
                <w:szCs w:val="21"/>
              </w:rPr>
              <w:t>时（北京时间）</w:t>
            </w:r>
            <w:r>
              <w:rPr>
                <w:rFonts w:hint="eastAsia" w:asciiTheme="minorEastAsia" w:hAnsiTheme="minorEastAsia" w:cstheme="minorEastAsia"/>
                <w:szCs w:val="21"/>
                <w:lang w:eastAsia="zh-CN"/>
              </w:rPr>
              <w:t>。</w:t>
            </w:r>
          </w:p>
        </w:tc>
      </w:tr>
      <w:tr w14:paraId="0BBA0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1291" w:type="dxa"/>
            <w:vAlign w:val="center"/>
          </w:tcPr>
          <w:p w14:paraId="57BD26A3">
            <w:pPr>
              <w:jc w:val="center"/>
              <w:rPr>
                <w:rFonts w:asciiTheme="minorEastAsia" w:hAnsiTheme="minorEastAsia" w:cstheme="minorEastAsia"/>
              </w:rPr>
            </w:pPr>
            <w:r>
              <w:rPr>
                <w:rFonts w:hint="eastAsia" w:asciiTheme="minorEastAsia" w:hAnsiTheme="minorEastAsia" w:cstheme="minorEastAsia"/>
              </w:rPr>
              <w:t>2、开标时间</w:t>
            </w:r>
          </w:p>
        </w:tc>
        <w:tc>
          <w:tcPr>
            <w:tcW w:w="7889" w:type="dxa"/>
          </w:tcPr>
          <w:p w14:paraId="71233D8A">
            <w:pPr>
              <w:rPr>
                <w:rFonts w:asciiTheme="minorEastAsia" w:hAnsiTheme="minorEastAsia" w:cstheme="minorEastAsia"/>
              </w:rPr>
            </w:pPr>
            <w:r>
              <w:rPr>
                <w:rFonts w:hint="eastAsia" w:asciiTheme="minorEastAsia" w:hAnsiTheme="minorEastAsia" w:cstheme="minorEastAsia"/>
                <w:szCs w:val="21"/>
              </w:rPr>
              <w:t>2025年</w:t>
            </w:r>
            <w:r>
              <w:rPr>
                <w:rFonts w:hint="eastAsia" w:asciiTheme="minorEastAsia" w:hAnsiTheme="minorEastAsia" w:cstheme="minorEastAsia"/>
                <w:szCs w:val="21"/>
                <w:lang w:val="en-US" w:eastAsia="zh-CN"/>
              </w:rPr>
              <w:t>10</w:t>
            </w:r>
            <w:r>
              <w:rPr>
                <w:rFonts w:hint="eastAsia" w:asciiTheme="minorEastAsia" w:hAnsiTheme="minorEastAsia" w:cstheme="minorEastAsia"/>
                <w:szCs w:val="21"/>
              </w:rPr>
              <w:t>月</w:t>
            </w:r>
            <w:r>
              <w:rPr>
                <w:rFonts w:hint="eastAsia" w:asciiTheme="minorEastAsia" w:hAnsiTheme="minorEastAsia" w:cstheme="minorEastAsia"/>
                <w:szCs w:val="21"/>
                <w:lang w:val="en-US" w:eastAsia="zh-CN"/>
              </w:rPr>
              <w:t>28</w:t>
            </w:r>
            <w:r>
              <w:rPr>
                <w:rFonts w:hint="eastAsia" w:asciiTheme="minorEastAsia" w:hAnsiTheme="minorEastAsia" w:cstheme="minorEastAsia"/>
                <w:szCs w:val="21"/>
              </w:rPr>
              <w:t>日</w:t>
            </w:r>
            <w:r>
              <w:rPr>
                <w:rFonts w:hint="eastAsia" w:asciiTheme="minorEastAsia" w:hAnsiTheme="minorEastAsia" w:cstheme="minorEastAsia"/>
                <w:szCs w:val="21"/>
                <w:lang w:val="en-US" w:eastAsia="zh-CN"/>
              </w:rPr>
              <w:t>10</w:t>
            </w:r>
            <w:r>
              <w:rPr>
                <w:rFonts w:hint="eastAsia" w:asciiTheme="minorEastAsia" w:hAnsiTheme="minorEastAsia" w:cstheme="minorEastAsia"/>
                <w:szCs w:val="21"/>
              </w:rPr>
              <w:t>时</w:t>
            </w:r>
            <w:r>
              <w:rPr>
                <w:rFonts w:hint="eastAsia" w:asciiTheme="minorEastAsia" w:hAnsiTheme="minorEastAsia" w:cstheme="minorEastAsia"/>
              </w:rPr>
              <w:t>（北京时间）。</w:t>
            </w:r>
          </w:p>
        </w:tc>
      </w:tr>
      <w:tr w14:paraId="0B882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291" w:type="dxa"/>
            <w:vAlign w:val="center"/>
          </w:tcPr>
          <w:p w14:paraId="5BA9B956">
            <w:pPr>
              <w:jc w:val="center"/>
              <w:rPr>
                <w:rFonts w:asciiTheme="minorEastAsia" w:hAnsiTheme="minorEastAsia" w:cstheme="minorEastAsia"/>
              </w:rPr>
            </w:pPr>
            <w:r>
              <w:rPr>
                <w:rFonts w:hint="eastAsia" w:asciiTheme="minorEastAsia" w:hAnsiTheme="minorEastAsia" w:cstheme="minorEastAsia"/>
              </w:rPr>
              <w:t>3、</w:t>
            </w:r>
            <w:r>
              <w:rPr>
                <w:rFonts w:hint="eastAsia" w:asciiTheme="minorEastAsia" w:hAnsiTheme="minorEastAsia" w:cstheme="minorEastAsia"/>
                <w:lang w:eastAsia="zh-CN"/>
              </w:rPr>
              <w:t>招标</w:t>
            </w:r>
            <w:r>
              <w:rPr>
                <w:rFonts w:hint="eastAsia" w:asciiTheme="minorEastAsia" w:hAnsiTheme="minorEastAsia" w:cstheme="minorEastAsia"/>
              </w:rPr>
              <w:t>文件领取时间</w:t>
            </w:r>
          </w:p>
        </w:tc>
        <w:tc>
          <w:tcPr>
            <w:tcW w:w="7889" w:type="dxa"/>
          </w:tcPr>
          <w:p w14:paraId="450D7C1B">
            <w:pPr>
              <w:rPr>
                <w:rFonts w:asciiTheme="minorEastAsia" w:hAnsiTheme="minorEastAsia" w:cstheme="minorEastAsia"/>
              </w:rPr>
            </w:pPr>
            <w:r>
              <w:rPr>
                <w:rFonts w:hint="eastAsia" w:asciiTheme="minorEastAsia" w:hAnsiTheme="minorEastAsia" w:cstheme="minorEastAsia"/>
              </w:rPr>
              <w:t>有报名意向的供应商请在</w:t>
            </w:r>
            <w:r>
              <w:rPr>
                <w:rFonts w:hint="eastAsia" w:asciiTheme="minorEastAsia" w:hAnsiTheme="minorEastAsia" w:cstheme="minorEastAsia"/>
                <w:lang w:eastAsia="zh-CN"/>
              </w:rPr>
              <w:t>招标</w:t>
            </w:r>
            <w:r>
              <w:rPr>
                <w:rFonts w:hint="eastAsia" w:asciiTheme="minorEastAsia" w:hAnsiTheme="minorEastAsia" w:cstheme="minorEastAsia"/>
              </w:rPr>
              <w:t>文件领取时间内自行登录津水云采进行</w:t>
            </w:r>
            <w:r>
              <w:rPr>
                <w:rFonts w:hint="eastAsia" w:asciiTheme="minorEastAsia" w:hAnsiTheme="minorEastAsia" w:cstheme="minorEastAsia"/>
                <w:lang w:eastAsia="zh-CN"/>
              </w:rPr>
              <w:t>招标</w:t>
            </w:r>
            <w:r>
              <w:rPr>
                <w:rFonts w:hint="eastAsia" w:asciiTheme="minorEastAsia" w:hAnsiTheme="minorEastAsia" w:cstheme="minorEastAsia"/>
              </w:rPr>
              <w:t>文件的下载。（津水云采网址：http://www.jinshuiyuncai.com/）</w:t>
            </w:r>
          </w:p>
          <w:p w14:paraId="4B1882EE">
            <w:pPr>
              <w:rPr>
                <w:rFonts w:asciiTheme="minorEastAsia" w:hAnsiTheme="minorEastAsia" w:cstheme="minorEastAsia"/>
                <w:color w:val="FF0000"/>
              </w:rPr>
            </w:pPr>
            <w:r>
              <w:rPr>
                <w:rFonts w:hint="eastAsia" w:asciiTheme="minorEastAsia" w:hAnsiTheme="minorEastAsia" w:cstheme="minorEastAsia"/>
              </w:rPr>
              <w:t>领取时间：</w:t>
            </w:r>
            <w:r>
              <w:rPr>
                <w:rFonts w:hint="eastAsia" w:asciiTheme="minorEastAsia" w:hAnsiTheme="minorEastAsia" w:cstheme="minorEastAsia"/>
                <w:szCs w:val="21"/>
              </w:rPr>
              <w:t>2025年</w:t>
            </w:r>
            <w:r>
              <w:rPr>
                <w:rFonts w:hint="eastAsia" w:asciiTheme="minorEastAsia" w:hAnsiTheme="minorEastAsia" w:cstheme="minorEastAsia"/>
                <w:szCs w:val="21"/>
                <w:lang w:val="en-US" w:eastAsia="zh-CN"/>
              </w:rPr>
              <w:t>10</w:t>
            </w:r>
            <w:r>
              <w:rPr>
                <w:rFonts w:hint="eastAsia" w:asciiTheme="minorEastAsia" w:hAnsiTheme="minorEastAsia" w:cstheme="minorEastAsia"/>
                <w:szCs w:val="21"/>
              </w:rPr>
              <w:t>月</w:t>
            </w:r>
            <w:r>
              <w:rPr>
                <w:rFonts w:hint="eastAsia" w:asciiTheme="minorEastAsia" w:hAnsiTheme="minorEastAsia" w:cstheme="minorEastAsia"/>
                <w:szCs w:val="21"/>
                <w:lang w:val="en-US" w:eastAsia="zh-CN"/>
              </w:rPr>
              <w:t>21</w:t>
            </w:r>
            <w:r>
              <w:rPr>
                <w:rFonts w:hint="eastAsia" w:asciiTheme="minorEastAsia" w:hAnsiTheme="minorEastAsia" w:cstheme="minorEastAsia"/>
                <w:szCs w:val="21"/>
              </w:rPr>
              <w:t>日</w:t>
            </w:r>
            <w:r>
              <w:rPr>
                <w:rFonts w:hint="eastAsia" w:asciiTheme="minorEastAsia" w:hAnsiTheme="minorEastAsia" w:cstheme="minorEastAsia"/>
                <w:szCs w:val="21"/>
                <w:lang w:val="en-US" w:eastAsia="zh-CN"/>
              </w:rPr>
              <w:t>09</w:t>
            </w:r>
            <w:r>
              <w:rPr>
                <w:rFonts w:hint="eastAsia" w:asciiTheme="minorEastAsia" w:hAnsiTheme="minorEastAsia" w:cstheme="minorEastAsia"/>
                <w:szCs w:val="21"/>
              </w:rPr>
              <w:t>时至2025年</w:t>
            </w:r>
            <w:r>
              <w:rPr>
                <w:rFonts w:hint="eastAsia" w:asciiTheme="minorEastAsia" w:hAnsiTheme="minorEastAsia" w:cstheme="minorEastAsia"/>
                <w:szCs w:val="21"/>
                <w:lang w:val="en-US" w:eastAsia="zh-CN"/>
              </w:rPr>
              <w:t>10</w:t>
            </w:r>
            <w:r>
              <w:rPr>
                <w:rFonts w:hint="eastAsia" w:asciiTheme="minorEastAsia" w:hAnsiTheme="minorEastAsia" w:cstheme="minorEastAsia"/>
                <w:szCs w:val="21"/>
              </w:rPr>
              <w:t>月</w:t>
            </w:r>
            <w:r>
              <w:rPr>
                <w:rFonts w:hint="eastAsia" w:asciiTheme="minorEastAsia" w:hAnsiTheme="minorEastAsia" w:cstheme="minorEastAsia"/>
                <w:szCs w:val="21"/>
                <w:lang w:val="en-US" w:eastAsia="zh-CN"/>
              </w:rPr>
              <w:t>28</w:t>
            </w:r>
            <w:r>
              <w:rPr>
                <w:rFonts w:hint="eastAsia" w:asciiTheme="minorEastAsia" w:hAnsiTheme="minorEastAsia" w:cstheme="minorEastAsia"/>
                <w:szCs w:val="21"/>
              </w:rPr>
              <w:t>日</w:t>
            </w:r>
            <w:r>
              <w:rPr>
                <w:rFonts w:hint="eastAsia" w:asciiTheme="minorEastAsia" w:hAnsiTheme="minorEastAsia" w:cstheme="minorEastAsia"/>
                <w:szCs w:val="21"/>
                <w:lang w:val="en-US" w:eastAsia="zh-CN"/>
              </w:rPr>
              <w:t>10</w:t>
            </w:r>
            <w:r>
              <w:rPr>
                <w:rFonts w:hint="eastAsia" w:asciiTheme="minorEastAsia" w:hAnsiTheme="minorEastAsia" w:cstheme="minorEastAsia"/>
                <w:szCs w:val="21"/>
              </w:rPr>
              <w:t>时（北京时间）</w:t>
            </w:r>
            <w:r>
              <w:rPr>
                <w:rFonts w:hint="eastAsia" w:asciiTheme="minorEastAsia" w:hAnsiTheme="minorEastAsia" w:cstheme="minorEastAsia"/>
                <w:szCs w:val="21"/>
                <w:lang w:eastAsia="zh-CN"/>
              </w:rPr>
              <w:t>。</w:t>
            </w:r>
          </w:p>
        </w:tc>
      </w:tr>
      <w:tr w14:paraId="1650F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9180" w:type="dxa"/>
            <w:gridSpan w:val="2"/>
          </w:tcPr>
          <w:p w14:paraId="152152A0">
            <w:pPr>
              <w:rPr>
                <w:rFonts w:asciiTheme="minorEastAsia" w:hAnsiTheme="minorEastAsia" w:cstheme="minorEastAsia"/>
              </w:rPr>
            </w:pPr>
            <w:r>
              <w:rPr>
                <w:rFonts w:hint="eastAsia" w:asciiTheme="minorEastAsia" w:hAnsiTheme="minorEastAsia" w:cstheme="minorEastAsia"/>
              </w:rPr>
              <w:t>八、报价方式：</w:t>
            </w:r>
          </w:p>
        </w:tc>
      </w:tr>
      <w:tr w14:paraId="0DBFF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8" w:hRule="atLeast"/>
        </w:trPr>
        <w:tc>
          <w:tcPr>
            <w:tcW w:w="1291" w:type="dxa"/>
            <w:vAlign w:val="center"/>
          </w:tcPr>
          <w:p w14:paraId="37A9B241">
            <w:pPr>
              <w:jc w:val="center"/>
              <w:rPr>
                <w:rFonts w:asciiTheme="minorEastAsia" w:hAnsiTheme="minorEastAsia" w:cstheme="minorEastAsia"/>
              </w:rPr>
            </w:pPr>
            <w:r>
              <w:rPr>
                <w:rFonts w:hint="eastAsia" w:asciiTheme="minorEastAsia" w:hAnsiTheme="minorEastAsia" w:cstheme="minorEastAsia"/>
              </w:rPr>
              <w:t>线下</w:t>
            </w:r>
            <w:r>
              <w:rPr>
                <w:rFonts w:hint="eastAsia" w:asciiTheme="minorEastAsia" w:hAnsiTheme="minorEastAsia" w:cstheme="minorEastAsia"/>
                <w:lang w:eastAsia="zh-CN"/>
              </w:rPr>
              <w:t>投标</w:t>
            </w:r>
            <w:r>
              <w:rPr>
                <w:rFonts w:hint="eastAsia" w:asciiTheme="minorEastAsia" w:hAnsiTheme="minorEastAsia" w:cstheme="minorEastAsia"/>
              </w:rPr>
              <w:t>方式</w:t>
            </w:r>
          </w:p>
        </w:tc>
        <w:tc>
          <w:tcPr>
            <w:tcW w:w="7889" w:type="dxa"/>
          </w:tcPr>
          <w:p w14:paraId="3EF24A0E">
            <w:pPr>
              <w:rPr>
                <w:rFonts w:asciiTheme="minorEastAsia" w:hAnsiTheme="minorEastAsia" w:cstheme="minorEastAsia"/>
              </w:rPr>
            </w:pPr>
            <w:r>
              <w:rPr>
                <w:rFonts w:hint="eastAsia" w:asciiTheme="minorEastAsia" w:hAnsiTheme="minorEastAsia" w:cstheme="minorEastAsia"/>
              </w:rPr>
              <w:t>本次</w:t>
            </w:r>
            <w:r>
              <w:rPr>
                <w:rFonts w:hint="eastAsia" w:asciiTheme="minorEastAsia" w:hAnsiTheme="minorEastAsia" w:cstheme="minorEastAsia"/>
                <w:lang w:eastAsia="zh-CN"/>
              </w:rPr>
              <w:t>招标</w:t>
            </w:r>
            <w:r>
              <w:rPr>
                <w:rFonts w:hint="eastAsia" w:asciiTheme="minorEastAsia" w:hAnsiTheme="minorEastAsia" w:cstheme="minorEastAsia"/>
              </w:rPr>
              <w:t>项目采用线下开标的方式，</w:t>
            </w:r>
            <w:r>
              <w:rPr>
                <w:rFonts w:hint="eastAsia" w:asciiTheme="minorEastAsia" w:hAnsiTheme="minorEastAsia" w:cstheme="minorEastAsia"/>
                <w:lang w:eastAsia="zh-CN"/>
              </w:rPr>
              <w:t>投标</w:t>
            </w:r>
            <w:r>
              <w:rPr>
                <w:rFonts w:hint="eastAsia" w:asciiTheme="minorEastAsia" w:hAnsiTheme="minorEastAsia" w:cstheme="minorEastAsia"/>
              </w:rPr>
              <w:t>人按照要求准备</w:t>
            </w:r>
            <w:r>
              <w:rPr>
                <w:rFonts w:hint="eastAsia" w:asciiTheme="minorEastAsia" w:hAnsiTheme="minorEastAsia" w:cstheme="minorEastAsia"/>
                <w:lang w:eastAsia="zh-CN"/>
              </w:rPr>
              <w:t>投标</w:t>
            </w:r>
            <w:r>
              <w:rPr>
                <w:rFonts w:hint="eastAsia" w:asciiTheme="minorEastAsia" w:hAnsiTheme="minorEastAsia" w:cstheme="minorEastAsia"/>
              </w:rPr>
              <w:t>文件并加盖公章法人章，由</w:t>
            </w:r>
            <w:r>
              <w:rPr>
                <w:rFonts w:hint="eastAsia" w:asciiTheme="minorEastAsia" w:hAnsiTheme="minorEastAsia" w:cstheme="minorEastAsia"/>
                <w:lang w:eastAsia="zh-CN"/>
              </w:rPr>
              <w:t>投标</w:t>
            </w:r>
            <w:r>
              <w:rPr>
                <w:rFonts w:hint="eastAsia" w:asciiTheme="minorEastAsia" w:hAnsiTheme="minorEastAsia" w:cstheme="minorEastAsia"/>
              </w:rPr>
              <w:t>单位法人（负责人）或委托代理人将密封情况良好的纸质版</w:t>
            </w:r>
            <w:r>
              <w:rPr>
                <w:rFonts w:hint="eastAsia" w:asciiTheme="minorEastAsia" w:hAnsiTheme="minorEastAsia" w:cstheme="minorEastAsia"/>
                <w:lang w:eastAsia="zh-CN"/>
              </w:rPr>
              <w:t>投标</w:t>
            </w:r>
            <w:r>
              <w:rPr>
                <w:rFonts w:hint="eastAsia" w:asciiTheme="minorEastAsia" w:hAnsiTheme="minorEastAsia" w:cstheme="minorEastAsia"/>
              </w:rPr>
              <w:t>资料盖章原件在截止日期前送至我处。</w:t>
            </w:r>
          </w:p>
          <w:p w14:paraId="45E4A44B">
            <w:pPr>
              <w:rPr>
                <w:rFonts w:asciiTheme="minorEastAsia" w:hAnsiTheme="minorEastAsia" w:cstheme="minorEastAsia"/>
              </w:rPr>
            </w:pPr>
            <w:r>
              <w:rPr>
                <w:rFonts w:hint="eastAsia" w:asciiTheme="minorEastAsia" w:hAnsiTheme="minorEastAsia" w:cstheme="minorEastAsia"/>
              </w:rPr>
              <w:t>开标地点：天津市红桥区海源道2号华水大厦三楼招投标室</w:t>
            </w:r>
          </w:p>
        </w:tc>
      </w:tr>
      <w:tr w14:paraId="4CFE6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9180" w:type="dxa"/>
            <w:gridSpan w:val="2"/>
          </w:tcPr>
          <w:p w14:paraId="05591548">
            <w:pPr>
              <w:rPr>
                <w:rFonts w:asciiTheme="minorEastAsia" w:hAnsiTheme="minorEastAsia" w:cstheme="minorEastAsia"/>
              </w:rPr>
            </w:pPr>
            <w:r>
              <w:rPr>
                <w:rFonts w:hint="eastAsia" w:asciiTheme="minorEastAsia" w:hAnsiTheme="minorEastAsia" w:cstheme="minorEastAsia"/>
              </w:rPr>
              <w:t>九、</w:t>
            </w:r>
            <w:r>
              <w:rPr>
                <w:rFonts w:hint="eastAsia" w:asciiTheme="minorEastAsia" w:hAnsiTheme="minorEastAsia" w:cstheme="minorEastAsia"/>
                <w:lang w:eastAsia="zh-CN"/>
              </w:rPr>
              <w:t>投标</w:t>
            </w:r>
            <w:r>
              <w:rPr>
                <w:rFonts w:hint="eastAsia" w:asciiTheme="minorEastAsia" w:hAnsiTheme="minorEastAsia" w:cstheme="minorEastAsia"/>
              </w:rPr>
              <w:t>文件的组成</w:t>
            </w:r>
          </w:p>
        </w:tc>
      </w:tr>
      <w:tr w14:paraId="4FED7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atLeast"/>
        </w:trPr>
        <w:tc>
          <w:tcPr>
            <w:tcW w:w="1291" w:type="dxa"/>
            <w:tcBorders>
              <w:bottom w:val="single" w:color="auto" w:sz="4" w:space="0"/>
            </w:tcBorders>
            <w:vAlign w:val="center"/>
          </w:tcPr>
          <w:p w14:paraId="37049DD4">
            <w:pPr>
              <w:jc w:val="center"/>
              <w:rPr>
                <w:rFonts w:asciiTheme="minorEastAsia" w:hAnsiTheme="minorEastAsia" w:cstheme="minorEastAsia"/>
              </w:rPr>
            </w:pPr>
            <w:r>
              <w:rPr>
                <w:rFonts w:hint="eastAsia" w:asciiTheme="minorEastAsia" w:hAnsiTheme="minorEastAsia" w:cstheme="minorEastAsia"/>
              </w:rPr>
              <w:t>1、基本组成要求</w:t>
            </w:r>
          </w:p>
        </w:tc>
        <w:tc>
          <w:tcPr>
            <w:tcW w:w="7889" w:type="dxa"/>
            <w:tcBorders>
              <w:bottom w:val="single" w:color="auto" w:sz="4" w:space="0"/>
            </w:tcBorders>
          </w:tcPr>
          <w:p w14:paraId="02D1E16D">
            <w:pPr>
              <w:rPr>
                <w:rFonts w:hint="eastAsia" w:asciiTheme="minorEastAsia" w:hAnsiTheme="minorEastAsia" w:eastAsiaTheme="minorEastAsia" w:cstheme="minorEastAsia"/>
                <w:lang w:eastAsia="zh-CN"/>
              </w:rPr>
            </w:pPr>
            <w:r>
              <w:rPr>
                <w:rFonts w:hint="eastAsia" w:asciiTheme="minorEastAsia" w:hAnsiTheme="minorEastAsia" w:cstheme="minorEastAsia"/>
                <w:lang w:eastAsia="zh-CN"/>
              </w:rPr>
              <w:t>详见投标文件内容</w:t>
            </w:r>
          </w:p>
        </w:tc>
      </w:tr>
      <w:tr w14:paraId="550E2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5" w:hRule="atLeast"/>
        </w:trPr>
        <w:tc>
          <w:tcPr>
            <w:tcW w:w="1291" w:type="dxa"/>
            <w:shd w:val="clear" w:color="auto" w:fill="FFFFFF" w:themeFill="background1"/>
            <w:vAlign w:val="center"/>
          </w:tcPr>
          <w:p w14:paraId="2FC78C3D">
            <w:pPr>
              <w:jc w:val="center"/>
              <w:rPr>
                <w:rFonts w:asciiTheme="minorEastAsia" w:hAnsiTheme="minorEastAsia" w:cstheme="minorEastAsia"/>
              </w:rPr>
            </w:pPr>
            <w:r>
              <w:rPr>
                <w:rFonts w:hint="eastAsia" w:asciiTheme="minorEastAsia" w:hAnsiTheme="minorEastAsia" w:cstheme="minorEastAsia"/>
              </w:rPr>
              <w:t>2、其他组成要求</w:t>
            </w:r>
          </w:p>
        </w:tc>
        <w:tc>
          <w:tcPr>
            <w:tcW w:w="7889" w:type="dxa"/>
            <w:shd w:val="clear" w:color="auto" w:fill="FFFFFF" w:themeFill="background1"/>
          </w:tcPr>
          <w:p w14:paraId="28E9A822">
            <w:pPr>
              <w:rPr>
                <w:rFonts w:asciiTheme="minorEastAsia" w:hAnsiTheme="minorEastAsia" w:cstheme="minorEastAsia"/>
              </w:rPr>
            </w:pPr>
            <w:r>
              <w:rPr>
                <w:rFonts w:hint="eastAsia" w:asciiTheme="minorEastAsia" w:hAnsiTheme="minorEastAsia" w:cstheme="minorEastAsia"/>
              </w:rPr>
              <w:t>2.1：</w:t>
            </w:r>
            <w:r>
              <w:rPr>
                <w:rFonts w:hint="eastAsia" w:asciiTheme="minorEastAsia" w:hAnsiTheme="minorEastAsia" w:cstheme="minorEastAsia"/>
                <w:lang w:eastAsia="zh-CN"/>
              </w:rPr>
              <w:t>投标</w:t>
            </w:r>
            <w:r>
              <w:rPr>
                <w:rFonts w:hint="eastAsia" w:asciiTheme="minorEastAsia" w:hAnsiTheme="minorEastAsia" w:cstheme="minorEastAsia"/>
              </w:rPr>
              <w:t>人须为</w:t>
            </w:r>
            <w:r>
              <w:rPr>
                <w:rFonts w:hint="eastAsia" w:asciiTheme="minorEastAsia" w:hAnsiTheme="minorEastAsia" w:cstheme="minorEastAsia"/>
                <w:szCs w:val="21"/>
              </w:rPr>
              <w:t>专业的</w:t>
            </w:r>
            <w:r>
              <w:rPr>
                <w:rFonts w:hint="eastAsia" w:asciiTheme="minorEastAsia" w:hAnsiTheme="minorEastAsia" w:cstheme="minorEastAsia"/>
                <w:szCs w:val="21"/>
                <w:shd w:val="clear" w:fill="FFFFFF" w:themeFill="background1"/>
              </w:rPr>
              <w:t>设备生产商或</w:t>
            </w:r>
            <w:r>
              <w:rPr>
                <w:rFonts w:hint="eastAsia" w:asciiTheme="minorEastAsia" w:hAnsiTheme="minorEastAsia" w:cstheme="minorEastAsia"/>
                <w:szCs w:val="21"/>
                <w:shd w:val="clear" w:fill="FFFFFF" w:themeFill="background1"/>
                <w:lang w:eastAsia="zh-CN"/>
              </w:rPr>
              <w:t>授权</w:t>
            </w:r>
            <w:r>
              <w:rPr>
                <w:rFonts w:hint="eastAsia" w:asciiTheme="minorEastAsia" w:hAnsiTheme="minorEastAsia" w:cstheme="minorEastAsia"/>
                <w:szCs w:val="21"/>
                <w:shd w:val="clear" w:fill="FFFFFF" w:themeFill="background1"/>
              </w:rPr>
              <w:t>代理</w:t>
            </w:r>
            <w:r>
              <w:rPr>
                <w:rFonts w:hint="eastAsia" w:asciiTheme="minorEastAsia" w:hAnsiTheme="minorEastAsia" w:cstheme="minorEastAsia"/>
                <w:szCs w:val="21"/>
              </w:rPr>
              <w:t>商</w:t>
            </w:r>
            <w:r>
              <w:rPr>
                <w:rFonts w:hint="eastAsia" w:asciiTheme="minorEastAsia" w:hAnsiTheme="minorEastAsia" w:cstheme="minorEastAsia"/>
              </w:rPr>
              <w:t>。营业执照在有效期内，具有独立订立合同的资格。</w:t>
            </w:r>
          </w:p>
          <w:p w14:paraId="6CDF2FD0">
            <w:pPr>
              <w:rPr>
                <w:rFonts w:hint="eastAsia" w:asciiTheme="minorEastAsia" w:hAnsiTheme="minorEastAsia" w:cstheme="minorEastAsia"/>
              </w:rPr>
            </w:pPr>
            <w:r>
              <w:rPr>
                <w:rFonts w:hint="eastAsia" w:asciiTheme="minorEastAsia" w:hAnsiTheme="minorEastAsia" w:cstheme="minorEastAsia"/>
              </w:rPr>
              <w:t>2.2：一经发现报价单位有围标、串标行为，做废标处理，上报上级单位，申请撤销涉事单位管道集团、水务集团合格供应商资格，同时禁止参与我公司招标项目1年。</w:t>
            </w:r>
          </w:p>
          <w:p w14:paraId="1EFD5C6A">
            <w:pPr>
              <w:rPr>
                <w:rFonts w:hint="eastAsia" w:asciiTheme="minorEastAsia" w:hAnsiTheme="minorEastAsia" w:eastAsiaTheme="minorEastAsia" w:cstheme="minorEastAsia"/>
                <w:lang w:eastAsia="zh-CN"/>
              </w:rPr>
            </w:pPr>
            <w:r>
              <w:rPr>
                <w:rFonts w:hint="eastAsia" w:asciiTheme="minorEastAsia" w:hAnsiTheme="minorEastAsia" w:cstheme="minorEastAsia"/>
                <w:lang w:val="en-US" w:eastAsia="zh-CN"/>
              </w:rPr>
              <w:t>2.3：</w:t>
            </w:r>
            <w:r>
              <w:rPr>
                <w:rFonts w:hint="eastAsia" w:ascii="宋体" w:hAnsi="宋体"/>
                <w:szCs w:val="21"/>
              </w:rPr>
              <w:t>投标文件份数</w:t>
            </w:r>
            <w:r>
              <w:rPr>
                <w:rFonts w:hint="eastAsia" w:ascii="宋体" w:hAnsi="宋体"/>
                <w:szCs w:val="21"/>
                <w:lang w:eastAsia="zh-CN"/>
              </w:rPr>
              <w:t>：</w:t>
            </w:r>
            <w:r>
              <w:rPr>
                <w:rFonts w:asciiTheme="minorEastAsia" w:hAnsiTheme="minorEastAsia" w:cstheme="minorEastAsia"/>
              </w:rPr>
              <w:t xml:space="preserve">  </w:t>
            </w:r>
            <w:r>
              <w:rPr>
                <w:rFonts w:hint="eastAsia" w:ascii="宋体" w:hAnsi="宋体"/>
                <w:szCs w:val="21"/>
              </w:rPr>
              <w:t>打印稿标书：壹份正本，四份副本，同时提供</w:t>
            </w:r>
            <w:r>
              <w:rPr>
                <w:rFonts w:hint="eastAsia" w:ascii="宋体" w:hAnsi="宋体"/>
                <w:szCs w:val="21"/>
                <w:lang w:eastAsia="zh-CN"/>
              </w:rPr>
              <w:t>投标</w:t>
            </w:r>
            <w:r>
              <w:rPr>
                <w:rFonts w:hint="eastAsia" w:ascii="宋体" w:hAnsi="宋体"/>
                <w:szCs w:val="21"/>
              </w:rPr>
              <w:t>文件电子版</w:t>
            </w:r>
            <w:r>
              <w:rPr>
                <w:rFonts w:hint="eastAsia" w:ascii="宋体" w:hAnsi="宋体"/>
                <w:szCs w:val="21"/>
                <w:lang w:eastAsia="zh-CN"/>
              </w:rPr>
              <w:t>。</w:t>
            </w:r>
          </w:p>
        </w:tc>
      </w:tr>
      <w:tr w14:paraId="7CA8D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9180" w:type="dxa"/>
            <w:gridSpan w:val="2"/>
          </w:tcPr>
          <w:p w14:paraId="42E4AAAF">
            <w:r>
              <w:rPr>
                <w:rFonts w:hint="eastAsia"/>
              </w:rPr>
              <w:t>十、中标单位的确定：</w:t>
            </w:r>
          </w:p>
        </w:tc>
      </w:tr>
      <w:tr w14:paraId="55940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trPr>
        <w:tc>
          <w:tcPr>
            <w:tcW w:w="1291" w:type="dxa"/>
            <w:vAlign w:val="center"/>
          </w:tcPr>
          <w:p w14:paraId="677B0ED7">
            <w:pPr>
              <w:jc w:val="center"/>
            </w:pPr>
            <w:r>
              <w:rPr>
                <w:rFonts w:hint="eastAsia"/>
              </w:rPr>
              <w:t>1、声明</w:t>
            </w:r>
          </w:p>
        </w:tc>
        <w:tc>
          <w:tcPr>
            <w:tcW w:w="7889" w:type="dxa"/>
          </w:tcPr>
          <w:p w14:paraId="2292CC00">
            <w:r>
              <w:t>中标单位一经确定，由</w:t>
            </w:r>
            <w:r>
              <w:rPr>
                <w:rFonts w:hint="eastAsia"/>
                <w:lang w:eastAsia="zh-CN"/>
              </w:rPr>
              <w:t>招标</w:t>
            </w:r>
            <w:r>
              <w:t>单位进行中标结果公示，公示期满后向中标单位发放中标通知书。</w:t>
            </w:r>
          </w:p>
        </w:tc>
      </w:tr>
      <w:tr w14:paraId="6C620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9180" w:type="dxa"/>
            <w:gridSpan w:val="2"/>
          </w:tcPr>
          <w:p w14:paraId="3252EE67">
            <w:r>
              <w:rPr>
                <w:rFonts w:hint="eastAsia"/>
              </w:rPr>
              <w:t>十一、联系人：胡</w:t>
            </w:r>
            <w:r>
              <w:rPr>
                <w:rFonts w:hint="eastAsia"/>
                <w:lang w:eastAsia="zh-CN"/>
              </w:rPr>
              <w:t>工</w:t>
            </w:r>
            <w:r>
              <w:rPr>
                <w:rFonts w:hint="eastAsia"/>
              </w:rPr>
              <w:t xml:space="preserve">       联系电话：022-27263451、15620689511</w:t>
            </w:r>
          </w:p>
        </w:tc>
      </w:tr>
    </w:tbl>
    <w:p w14:paraId="1B1F3A01"/>
    <w:p w14:paraId="12B0184A">
      <w:pPr>
        <w:ind w:firstLine="2940" w:firstLineChars="1400"/>
        <w:rPr>
          <w:rFonts w:asciiTheme="minorEastAsia" w:hAnsiTheme="minorEastAsia" w:cstheme="minorEastAsia"/>
        </w:rPr>
      </w:pPr>
      <w:r>
        <w:rPr>
          <w:rFonts w:hint="eastAsia" w:asciiTheme="minorEastAsia" w:hAnsiTheme="minorEastAsia" w:cstheme="minorEastAsia"/>
        </w:rPr>
        <w:t>天津市管道工程集团有限公司第八分公司</w:t>
      </w:r>
    </w:p>
    <w:p w14:paraId="08A08476">
      <w:pPr>
        <w:ind w:firstLine="3570" w:firstLineChars="1700"/>
        <w:rPr>
          <w:rFonts w:asciiTheme="minorEastAsia" w:hAnsiTheme="minorEastAsia" w:cstheme="minorEastAsia"/>
        </w:rPr>
      </w:pPr>
      <w:r>
        <w:rPr>
          <w:rFonts w:hint="eastAsia" w:asciiTheme="minorEastAsia" w:hAnsiTheme="minorEastAsia" w:cstheme="minorEastAsia"/>
        </w:rPr>
        <w:t>2025年</w:t>
      </w:r>
      <w:r>
        <w:rPr>
          <w:rFonts w:hint="eastAsia" w:asciiTheme="minorEastAsia" w:hAnsiTheme="minorEastAsia" w:cstheme="minorEastAsia"/>
          <w:lang w:val="en-US" w:eastAsia="zh-CN"/>
        </w:rPr>
        <w:t>10</w:t>
      </w:r>
      <w:r>
        <w:rPr>
          <w:rFonts w:hint="eastAsia" w:asciiTheme="minorEastAsia" w:hAnsiTheme="minorEastAsia" w:cstheme="minorEastAsia"/>
        </w:rPr>
        <w:t xml:space="preserve">月 </w:t>
      </w:r>
      <w:r>
        <w:rPr>
          <w:rFonts w:hint="eastAsia" w:asciiTheme="minorEastAsia" w:hAnsiTheme="minorEastAsia" w:cstheme="minorEastAsia"/>
          <w:lang w:val="en-US" w:eastAsia="zh-CN"/>
        </w:rPr>
        <w:t>21</w:t>
      </w:r>
      <w:r>
        <w:rPr>
          <w:rFonts w:hint="eastAsia" w:asciiTheme="minorEastAsia" w:hAnsiTheme="minorEastAsia" w:cstheme="minorEastAsia"/>
        </w:rPr>
        <w:t>日</w:t>
      </w:r>
    </w:p>
    <w:p w14:paraId="0C27E097">
      <w:pPr>
        <w:ind w:firstLine="6930" w:firstLineChars="3300"/>
        <w:rPr>
          <w:rFonts w:asciiTheme="minorEastAsia" w:hAnsiTheme="minorEastAsia" w:cstheme="minorEastAsia"/>
        </w:rPr>
      </w:pPr>
    </w:p>
    <w:p w14:paraId="684EE8E8">
      <w:pPr>
        <w:ind w:firstLine="6930" w:firstLineChars="3300"/>
        <w:rPr>
          <w:rFonts w:asciiTheme="minorEastAsia" w:hAnsiTheme="minorEastAsia" w:cstheme="minorEastAsia"/>
        </w:rPr>
      </w:pPr>
    </w:p>
    <w:p w14:paraId="55AD1514">
      <w:pPr>
        <w:ind w:firstLine="6930" w:firstLineChars="3300"/>
        <w:rPr>
          <w:rFonts w:asciiTheme="minorEastAsia" w:hAnsiTheme="minorEastAsia" w:cstheme="minorEastAsia"/>
        </w:rPr>
      </w:pPr>
    </w:p>
    <w:p w14:paraId="5C273805">
      <w:pPr>
        <w:pStyle w:val="5"/>
        <w:rPr>
          <w:rFonts w:asciiTheme="minorEastAsia" w:hAnsiTheme="minorEastAsia" w:cstheme="minorEastAsia"/>
        </w:rPr>
      </w:pPr>
    </w:p>
    <w:p w14:paraId="5DE9D976">
      <w:pPr>
        <w:pStyle w:val="6"/>
        <w:rPr>
          <w:rFonts w:asciiTheme="minorEastAsia" w:hAnsiTheme="minorEastAsia" w:cstheme="minorEastAsia"/>
        </w:rPr>
      </w:pPr>
    </w:p>
    <w:p w14:paraId="71098D9F">
      <w:pPr>
        <w:pStyle w:val="6"/>
        <w:rPr>
          <w:rFonts w:asciiTheme="minorEastAsia" w:hAnsiTheme="minorEastAsia" w:cstheme="minorEastAsia"/>
        </w:rPr>
      </w:pPr>
    </w:p>
    <w:p w14:paraId="118D0E38">
      <w:pPr>
        <w:rPr>
          <w:rFonts w:asciiTheme="minorEastAsia" w:hAnsiTheme="minorEastAsia" w:cstheme="minorEastAsia"/>
        </w:rPr>
      </w:pPr>
    </w:p>
    <w:p w14:paraId="5357752B">
      <w:pPr>
        <w:ind w:firstLine="6930" w:firstLineChars="3300"/>
        <w:rPr>
          <w:rFonts w:asciiTheme="minorEastAsia" w:hAnsiTheme="minorEastAsia" w:cstheme="minorEastAsia"/>
        </w:rPr>
      </w:pPr>
    </w:p>
    <w:p w14:paraId="5825E6A7">
      <w:pPr>
        <w:pStyle w:val="2"/>
        <w:rPr>
          <w:rFonts w:hint="default"/>
        </w:rPr>
      </w:pPr>
    </w:p>
    <w:p w14:paraId="62AC57A5">
      <w:pPr>
        <w:pStyle w:val="2"/>
        <w:rPr>
          <w:rFonts w:hint="eastAsia" w:ascii="宋体" w:hAnsi="宋体" w:eastAsiaTheme="minorEastAsia" w:cstheme="minorBidi"/>
          <w:b/>
          <w:kern w:val="2"/>
          <w:sz w:val="36"/>
          <w:szCs w:val="36"/>
          <w:lang w:val="en-US" w:eastAsia="zh-CN" w:bidi="ar-SA"/>
        </w:rPr>
      </w:pPr>
      <w:r>
        <w:rPr>
          <w:rFonts w:hint="eastAsia" w:ascii="宋体" w:hAnsi="宋体" w:eastAsiaTheme="minorEastAsia" w:cstheme="minorBidi"/>
          <w:b/>
          <w:kern w:val="2"/>
          <w:sz w:val="36"/>
          <w:szCs w:val="36"/>
          <w:lang w:val="en-US" w:eastAsia="zh-CN" w:bidi="ar-SA"/>
        </w:rPr>
        <w:t>技术参数：</w:t>
      </w:r>
    </w:p>
    <w:p w14:paraId="0CE2C5A8">
      <w:pPr>
        <w:pStyle w:val="2"/>
        <w:rPr>
          <w:rFonts w:hint="eastAsia" w:asciiTheme="majorEastAsia" w:hAnsiTheme="majorEastAsia" w:eastAsiaTheme="majorEastAsia" w:cstheme="majorEastAsia"/>
          <w:bCs w:val="0"/>
          <w:sz w:val="24"/>
          <w:szCs w:val="24"/>
        </w:rPr>
      </w:pPr>
      <w:bookmarkStart w:id="2" w:name="_Toc18388"/>
      <w:r>
        <w:rPr>
          <w:rFonts w:hint="eastAsia" w:asciiTheme="majorEastAsia" w:hAnsiTheme="majorEastAsia" w:eastAsiaTheme="majorEastAsia" w:cstheme="majorEastAsia"/>
          <w:bCs w:val="0"/>
          <w:sz w:val="24"/>
          <w:szCs w:val="24"/>
          <w:lang w:eastAsia="zh-CN"/>
        </w:rPr>
        <w:t>一、</w:t>
      </w:r>
      <w:r>
        <w:rPr>
          <w:rFonts w:hint="eastAsia" w:asciiTheme="majorEastAsia" w:hAnsiTheme="majorEastAsia" w:eastAsiaTheme="majorEastAsia" w:cstheme="majorEastAsia"/>
          <w:bCs w:val="0"/>
          <w:sz w:val="24"/>
          <w:szCs w:val="24"/>
        </w:rPr>
        <w:t>阀门</w:t>
      </w:r>
      <w:bookmarkEnd w:id="2"/>
    </w:p>
    <w:p w14:paraId="08892AB2">
      <w:pPr>
        <w:pStyle w:val="4"/>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要求所有阀门正常使用寿命均不低于20年。</w:t>
      </w:r>
    </w:p>
    <w:p w14:paraId="35F1C077">
      <w:pPr>
        <w:pStyle w:val="4"/>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严禁贴牌生产，阀体上应浇筑有凸出或凹入的产品标识。阀门阀体上的适当地方应浇铸有阀门口径，工作压力，阀体材质和厂家标识。阀门铭牌上应注明阀门型号、系列号，生产日期，阀门口径，工作压力等。</w:t>
      </w:r>
    </w:p>
    <w:p w14:paraId="5D1BD7B7">
      <w:pPr>
        <w:pStyle w:val="4"/>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如无特殊说明，所有阀门均按1.0MPa规格考虑。</w:t>
      </w:r>
    </w:p>
    <w:p w14:paraId="628D0F7A">
      <w:pPr>
        <w:autoSpaceDE w:val="0"/>
        <w:autoSpaceDN w:val="0"/>
        <w:adjustRightInd w:val="0"/>
        <w:snapToGrid w:val="0"/>
        <w:spacing w:line="360" w:lineRule="auto"/>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法兰连接的阀门法兰连接尺寸和密封面形式应符合《整体铸铁法兰》（GB/T 17241.6-2008）中的规定，法兰技术要求应符合GB/T 17241.7-1998《铸铁管法兰技术条件》标准中的规定。</w:t>
      </w:r>
    </w:p>
    <w:p w14:paraId="0A44DDDF">
      <w:pPr>
        <w:pStyle w:val="4"/>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除非另有说明，应有现场开度指示，清楚显示阀门开度位置，所有阀门的齿轮操作装置应能大于30%的水头下开启和关闭阀门，阀门手轮应为铸铁，并刻有开/关方向，所有阀门应顺时针关闭，不允许操作杆代替手轮，手轮最大操作力不大于200N。</w:t>
      </w:r>
    </w:p>
    <w:p w14:paraId="3B1E0712">
      <w:pPr>
        <w:pStyle w:val="4"/>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DN100以上的电动阀门均应配套手动机构；</w:t>
      </w:r>
    </w:p>
    <w:p w14:paraId="357E86FB">
      <w:pPr>
        <w:pStyle w:val="4"/>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阀门井内手动阀门应配地面开启钥匙；</w:t>
      </w:r>
    </w:p>
    <w:p w14:paraId="1D8AA463">
      <w:pPr>
        <w:pStyle w:val="4"/>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阀（闸）门的安装必须与管同心，应牢固、可靠、密封性好、不渗漏等。</w:t>
      </w:r>
    </w:p>
    <w:p w14:paraId="09028543">
      <w:pPr>
        <w:pStyle w:val="4"/>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出厂球阀的启闭件应处于开启位置，其余阀门的启闭件应处于关闭位置，止回阀的启闭件应处于关闭位置并固定；</w:t>
      </w:r>
    </w:p>
    <w:p w14:paraId="611AEFD3">
      <w:pPr>
        <w:pStyle w:val="4"/>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阀门两端应有盲板保护法兰密封面、焊接端或螺纹端部及阀门内腔；盲板应用木质、木质纤维板、塑料或金属制成，并用螺栓、钢夹或锁紧装置固定，且应易于装卸；</w:t>
      </w:r>
    </w:p>
    <w:p w14:paraId="3DBB19EC">
      <w:pPr>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阀门应包装发运。对于公称直径小于或等于40mm的各类阀门均应装箱发运，对于工程直径大于或等于50mm的各类阀门可以散装或用气氛方式包装，但必须保证在正常运输过程中不破损和丢失零件。</w:t>
      </w:r>
    </w:p>
    <w:p w14:paraId="75176189">
      <w:pPr>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阀门的所有零件部件、密封件、防腐涂料均不得采用对处理水造成污染的材料，阀门材料的卫生条件必须符合GB17219-1998《生活饮用水输配水设备及防护材料的安全性评价标准》要求，防护涂料、橡胶要有省级涉及饮用水卫生安全产品卫生行政许可证。</w:t>
      </w:r>
    </w:p>
    <w:p w14:paraId="12E9E795">
      <w:pPr>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阀门自发货日期起的18个月内，在产品说明书规定的政策操作条件下，因材料缺陷、制造质量、设计等原因造成的破坏，必须由厂家负责免费保修或更换保修项目范围内的零件或整台产品。</w:t>
      </w:r>
    </w:p>
    <w:p w14:paraId="237B7414">
      <w:pPr>
        <w:keepNext/>
        <w:keepLines/>
        <w:numPr>
          <w:ilvl w:val="3"/>
          <w:numId w:val="0"/>
        </w:numPr>
        <w:tabs>
          <w:tab w:val="left" w:pos="0"/>
        </w:tabs>
        <w:snapToGrid w:val="0"/>
        <w:spacing w:line="360" w:lineRule="auto"/>
        <w:ind w:left="850" w:hanging="850"/>
        <w:outlineLvl w:val="3"/>
        <w:rPr>
          <w:rFonts w:hint="eastAsia" w:asciiTheme="majorEastAsia" w:hAnsiTheme="majorEastAsia" w:eastAsiaTheme="majorEastAsia" w:cstheme="majorEastAsia"/>
          <w:bCs/>
          <w:sz w:val="24"/>
          <w:szCs w:val="24"/>
        </w:rPr>
      </w:pPr>
      <w:r>
        <w:rPr>
          <w:rFonts w:hint="eastAsia" w:asciiTheme="majorEastAsia" w:hAnsiTheme="majorEastAsia" w:eastAsiaTheme="majorEastAsia" w:cstheme="majorEastAsia"/>
          <w:bCs/>
          <w:sz w:val="24"/>
          <w:szCs w:val="24"/>
          <w:lang w:val="en-US" w:eastAsia="zh-CN"/>
        </w:rPr>
        <w:t>1、</w:t>
      </w:r>
      <w:r>
        <w:rPr>
          <w:rFonts w:hint="eastAsia" w:asciiTheme="majorEastAsia" w:hAnsiTheme="majorEastAsia" w:eastAsiaTheme="majorEastAsia" w:cstheme="majorEastAsia"/>
          <w:bCs/>
          <w:sz w:val="24"/>
          <w:szCs w:val="24"/>
        </w:rPr>
        <w:t>蝶阀</w:t>
      </w:r>
    </w:p>
    <w:p w14:paraId="28E0BB07">
      <w:pPr>
        <w:adjustRightInd w:val="0"/>
        <w:snapToGrid w:val="0"/>
        <w:spacing w:line="360" w:lineRule="auto"/>
        <w:ind w:firstLine="240" w:firstLineChars="1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①、结构及性能</w:t>
      </w:r>
    </w:p>
    <w:p w14:paraId="5753EC4A">
      <w:pPr>
        <w:adjustRightInd w:val="0"/>
        <w:snapToGrid w:val="0"/>
        <w:spacing w:line="360" w:lineRule="auto"/>
        <w:ind w:firstLine="480" w:firstLineChars="200"/>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sz w:val="24"/>
          <w:szCs w:val="24"/>
        </w:rPr>
        <w:t>蝶阀的制造应符合《法兰和对夹连接弹性密封蝶阀》（GB/T12238-2008）标准的规定。</w:t>
      </w:r>
    </w:p>
    <w:p w14:paraId="2CE2ECC8">
      <w:pPr>
        <w:adjustRightInd w:val="0"/>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蝶阀结构长度应符合GB/T12221-2005《金属阀门结构长度》标准中的规定。</w:t>
      </w:r>
    </w:p>
    <w:p w14:paraId="08BE55DA">
      <w:pPr>
        <w:adjustRightInd w:val="0"/>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蝶阀应为软密封、短系列、法兰联接结构。必要时，阀体上应适当设置加强筋，地脚支架及固定螺栓。</w:t>
      </w:r>
    </w:p>
    <w:p w14:paraId="647383F0">
      <w:pPr>
        <w:adjustRightInd w:val="0"/>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根据招标图设备材料表确定蝶阀结构形式，本工程蝶阀结构形式有双偏心结构和对夹结构。</w:t>
      </w:r>
    </w:p>
    <w:p w14:paraId="30BD11A1">
      <w:pPr>
        <w:adjustRightInd w:val="0"/>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蝶阀应采用流阻小、刚性好、压力损失小的阀板结构。</w:t>
      </w:r>
    </w:p>
    <w:p w14:paraId="60C1CE98">
      <w:pPr>
        <w:adjustRightInd w:val="0"/>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蝶阀应能承受双向水压。关闭时，密封泄漏量应为零。</w:t>
      </w:r>
    </w:p>
    <w:p w14:paraId="0C43D410">
      <w:pPr>
        <w:adjustRightInd w:val="0"/>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蝶阀应采用性能可靠，寿命长久的双向密封结构。其中双偏心软密封蝶阀橡胶密封圈应整体嵌固在阀板上，应能自身调节密封，以保证在变化的压力下，阀门仍能够密封严密，不泄漏。蝶阀密封面胶圈不允许有挂伤、裂纹、凹凸不平的现象，金属密封座不得有机械缺陷。可采用无焊接的整体型或者装配式阀座。中线式橡胶全衬蝶阀阀体密封衬里采用整体热硫化三元乙丙橡胶，一直到水线，长期挤压不变形，耐受温度为0－80℃。整体硫化工艺避免嵌入式衬里的挤压变形。</w:t>
      </w:r>
    </w:p>
    <w:p w14:paraId="7393611A">
      <w:pPr>
        <w:adjustRightInd w:val="0"/>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阀轴应带有自润滑式轴套，运行时无需注油。</w:t>
      </w:r>
    </w:p>
    <w:p w14:paraId="3A7F20B6">
      <w:pPr>
        <w:adjustRightInd w:val="0"/>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在阀杆伸出端上应至少设置三道以上V 形或O 形橡胶密封圈，不得采用石棉材料密封。</w:t>
      </w:r>
    </w:p>
    <w:p w14:paraId="6AE56509">
      <w:pPr>
        <w:adjustRightInd w:val="0"/>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阀门上要有全开、全闭以及其它任何位置的指示装置。 </w:t>
      </w:r>
    </w:p>
    <w:p w14:paraId="26C248A5">
      <w:pPr>
        <w:adjustRightInd w:val="0"/>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阀门应能在全开和全闭之间的任意位置运行而不会产生蠕动和颤动。</w:t>
      </w:r>
    </w:p>
    <w:p w14:paraId="0A1DE05F">
      <w:pPr>
        <w:adjustRightInd w:val="0"/>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蝶阀应当按照最大无冲击状态下的关闭压力设计其最大工作扭矩。</w:t>
      </w:r>
    </w:p>
    <w:p w14:paraId="075AE55B">
      <w:pPr>
        <w:adjustRightInd w:val="0"/>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蝶阀的阀板应当整体浇铸而成，在承受较高压差时工作压力不超过使用材抗拉强度的1/3，阀板的厚度不得超过阀轴直径的2倍。在阀门全开时流阻系数不应大于0.2。</w:t>
      </w:r>
    </w:p>
    <w:p w14:paraId="502097EF">
      <w:pPr>
        <w:adjustRightInd w:val="0"/>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蝶阀中注明伸缩型时为法兰蝶阀及伸缩节于一体的蝶阀。</w:t>
      </w:r>
    </w:p>
    <w:p w14:paraId="6ABBC1D2">
      <w:pPr>
        <w:adjustRightInd w:val="0"/>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蝶阀内外应经高压喷砂除锈（达到Sa2.5 级）处理后，静电喷涂环氧树脂涂层，内表面厚度应大于250μm，外表面厚度应大于150μm。</w:t>
      </w:r>
    </w:p>
    <w:p w14:paraId="39BD6F1F">
      <w:pPr>
        <w:adjustRightInd w:val="0"/>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蝶阀的试验应符合GB/T13927-2022《工业阀门压力试验》标准的规定。</w:t>
      </w:r>
    </w:p>
    <w:p w14:paraId="0D141156">
      <w:pPr>
        <w:adjustRightInd w:val="0"/>
        <w:snapToGrid w:val="0"/>
        <w:spacing w:line="360" w:lineRule="auto"/>
        <w:ind w:firstLine="240" w:firstLineChars="1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②、主要零部件材料</w:t>
      </w:r>
    </w:p>
    <w:tbl>
      <w:tblPr>
        <w:tblStyle w:val="12"/>
        <w:tblW w:w="8522" w:type="dxa"/>
        <w:tblInd w:w="0" w:type="dxa"/>
        <w:tblLayout w:type="fixed"/>
        <w:tblCellMar>
          <w:top w:w="0" w:type="dxa"/>
          <w:left w:w="108" w:type="dxa"/>
          <w:bottom w:w="0" w:type="dxa"/>
          <w:right w:w="108" w:type="dxa"/>
        </w:tblCellMar>
      </w:tblPr>
      <w:tblGrid>
        <w:gridCol w:w="4261"/>
        <w:gridCol w:w="4261"/>
      </w:tblGrid>
      <w:tr w14:paraId="3367D0EB">
        <w:tblPrEx>
          <w:tblCellMar>
            <w:top w:w="0" w:type="dxa"/>
            <w:left w:w="108" w:type="dxa"/>
            <w:bottom w:w="0" w:type="dxa"/>
            <w:right w:w="108" w:type="dxa"/>
          </w:tblCellMar>
        </w:tblPrEx>
        <w:tc>
          <w:tcPr>
            <w:tcW w:w="4261" w:type="dxa"/>
            <w:tcBorders>
              <w:top w:val="single" w:color="auto" w:sz="4" w:space="0"/>
              <w:left w:val="single" w:color="auto" w:sz="4" w:space="0"/>
              <w:bottom w:val="single" w:color="auto" w:sz="4" w:space="0"/>
              <w:right w:val="single" w:color="auto" w:sz="4" w:space="0"/>
            </w:tcBorders>
          </w:tcPr>
          <w:p w14:paraId="614669F5">
            <w:pPr>
              <w:adjustRightInd w:val="0"/>
              <w:snapToGrid w:val="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名 称</w:t>
            </w:r>
          </w:p>
        </w:tc>
        <w:tc>
          <w:tcPr>
            <w:tcW w:w="4261" w:type="dxa"/>
            <w:tcBorders>
              <w:top w:val="single" w:color="auto" w:sz="4" w:space="0"/>
              <w:left w:val="single" w:color="auto" w:sz="4" w:space="0"/>
              <w:bottom w:val="single" w:color="auto" w:sz="4" w:space="0"/>
              <w:right w:val="single" w:color="auto" w:sz="4" w:space="0"/>
            </w:tcBorders>
          </w:tcPr>
          <w:p w14:paraId="1B67FB92">
            <w:pPr>
              <w:adjustRightInd w:val="0"/>
              <w:snapToGrid w:val="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材 质</w:t>
            </w:r>
          </w:p>
        </w:tc>
      </w:tr>
      <w:tr w14:paraId="3DECA9B6">
        <w:tblPrEx>
          <w:tblCellMar>
            <w:top w:w="0" w:type="dxa"/>
            <w:left w:w="108" w:type="dxa"/>
            <w:bottom w:w="0" w:type="dxa"/>
            <w:right w:w="108" w:type="dxa"/>
          </w:tblCellMar>
        </w:tblPrEx>
        <w:tc>
          <w:tcPr>
            <w:tcW w:w="4261" w:type="dxa"/>
            <w:tcBorders>
              <w:top w:val="single" w:color="auto" w:sz="4" w:space="0"/>
              <w:left w:val="single" w:color="auto" w:sz="4" w:space="0"/>
              <w:bottom w:val="single" w:color="auto" w:sz="4" w:space="0"/>
              <w:right w:val="single" w:color="auto" w:sz="4" w:space="0"/>
            </w:tcBorders>
          </w:tcPr>
          <w:p w14:paraId="6E493FC4">
            <w:pPr>
              <w:adjustRightInd w:val="0"/>
              <w:snapToGrid w:val="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阀体</w:t>
            </w:r>
          </w:p>
        </w:tc>
        <w:tc>
          <w:tcPr>
            <w:tcW w:w="4261" w:type="dxa"/>
            <w:tcBorders>
              <w:top w:val="single" w:color="auto" w:sz="4" w:space="0"/>
              <w:left w:val="single" w:color="auto" w:sz="4" w:space="0"/>
              <w:bottom w:val="single" w:color="auto" w:sz="4" w:space="0"/>
              <w:right w:val="single" w:color="auto" w:sz="4" w:space="0"/>
            </w:tcBorders>
          </w:tcPr>
          <w:p w14:paraId="3E95C1C9">
            <w:pPr>
              <w:adjustRightInd w:val="0"/>
              <w:snapToGrid w:val="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球墨铸铁QT450-10</w:t>
            </w:r>
          </w:p>
        </w:tc>
      </w:tr>
      <w:tr w14:paraId="167D3AD1">
        <w:tblPrEx>
          <w:tblCellMar>
            <w:top w:w="0" w:type="dxa"/>
            <w:left w:w="108" w:type="dxa"/>
            <w:bottom w:w="0" w:type="dxa"/>
            <w:right w:w="108" w:type="dxa"/>
          </w:tblCellMar>
        </w:tblPrEx>
        <w:tc>
          <w:tcPr>
            <w:tcW w:w="4261" w:type="dxa"/>
            <w:tcBorders>
              <w:top w:val="single" w:color="auto" w:sz="4" w:space="0"/>
              <w:left w:val="single" w:color="auto" w:sz="4" w:space="0"/>
              <w:bottom w:val="single" w:color="auto" w:sz="4" w:space="0"/>
              <w:right w:val="single" w:color="auto" w:sz="4" w:space="0"/>
            </w:tcBorders>
          </w:tcPr>
          <w:p w14:paraId="120CC850">
            <w:pPr>
              <w:adjustRightInd w:val="0"/>
              <w:snapToGrid w:val="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阀板</w:t>
            </w:r>
          </w:p>
        </w:tc>
        <w:tc>
          <w:tcPr>
            <w:tcW w:w="4261" w:type="dxa"/>
            <w:tcBorders>
              <w:top w:val="single" w:color="auto" w:sz="4" w:space="0"/>
              <w:left w:val="single" w:color="auto" w:sz="4" w:space="0"/>
              <w:bottom w:val="single" w:color="auto" w:sz="4" w:space="0"/>
              <w:right w:val="single" w:color="auto" w:sz="4" w:space="0"/>
            </w:tcBorders>
          </w:tcPr>
          <w:p w14:paraId="111EC9C7">
            <w:pPr>
              <w:adjustRightInd w:val="0"/>
              <w:snapToGrid w:val="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球墨铸铁QT450-10</w:t>
            </w:r>
          </w:p>
        </w:tc>
      </w:tr>
      <w:tr w14:paraId="092BA1F2">
        <w:tblPrEx>
          <w:tblCellMar>
            <w:top w:w="0" w:type="dxa"/>
            <w:left w:w="108" w:type="dxa"/>
            <w:bottom w:w="0" w:type="dxa"/>
            <w:right w:w="108" w:type="dxa"/>
          </w:tblCellMar>
        </w:tblPrEx>
        <w:tc>
          <w:tcPr>
            <w:tcW w:w="4261" w:type="dxa"/>
            <w:tcBorders>
              <w:top w:val="single" w:color="auto" w:sz="4" w:space="0"/>
              <w:left w:val="single" w:color="auto" w:sz="4" w:space="0"/>
              <w:bottom w:val="single" w:color="auto" w:sz="4" w:space="0"/>
              <w:right w:val="single" w:color="auto" w:sz="4" w:space="0"/>
            </w:tcBorders>
          </w:tcPr>
          <w:p w14:paraId="780F915A">
            <w:pPr>
              <w:adjustRightInd w:val="0"/>
              <w:snapToGrid w:val="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阀杆</w:t>
            </w:r>
          </w:p>
        </w:tc>
        <w:tc>
          <w:tcPr>
            <w:tcW w:w="4261" w:type="dxa"/>
            <w:tcBorders>
              <w:top w:val="single" w:color="auto" w:sz="4" w:space="0"/>
              <w:left w:val="single" w:color="auto" w:sz="4" w:space="0"/>
              <w:bottom w:val="single" w:color="auto" w:sz="4" w:space="0"/>
              <w:right w:val="single" w:color="auto" w:sz="4" w:space="0"/>
            </w:tcBorders>
          </w:tcPr>
          <w:p w14:paraId="590650A5">
            <w:pPr>
              <w:adjustRightInd w:val="0"/>
              <w:snapToGrid w:val="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不锈钢12Cr13/20Cr13</w:t>
            </w:r>
          </w:p>
        </w:tc>
      </w:tr>
      <w:tr w14:paraId="14D09E5A">
        <w:tblPrEx>
          <w:tblCellMar>
            <w:top w:w="0" w:type="dxa"/>
            <w:left w:w="108" w:type="dxa"/>
            <w:bottom w:w="0" w:type="dxa"/>
            <w:right w:w="108" w:type="dxa"/>
          </w:tblCellMar>
        </w:tblPrEx>
        <w:tc>
          <w:tcPr>
            <w:tcW w:w="4261" w:type="dxa"/>
            <w:tcBorders>
              <w:top w:val="single" w:color="auto" w:sz="4" w:space="0"/>
              <w:left w:val="single" w:color="auto" w:sz="4" w:space="0"/>
              <w:bottom w:val="single" w:color="auto" w:sz="4" w:space="0"/>
              <w:right w:val="single" w:color="auto" w:sz="4" w:space="0"/>
            </w:tcBorders>
          </w:tcPr>
          <w:p w14:paraId="61849D6A">
            <w:pPr>
              <w:adjustRightInd w:val="0"/>
              <w:snapToGrid w:val="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密封圈</w:t>
            </w:r>
          </w:p>
        </w:tc>
        <w:tc>
          <w:tcPr>
            <w:tcW w:w="4261" w:type="dxa"/>
            <w:tcBorders>
              <w:top w:val="single" w:color="auto" w:sz="4" w:space="0"/>
              <w:left w:val="single" w:color="auto" w:sz="4" w:space="0"/>
              <w:bottom w:val="single" w:color="auto" w:sz="4" w:space="0"/>
              <w:right w:val="single" w:color="auto" w:sz="4" w:space="0"/>
            </w:tcBorders>
          </w:tcPr>
          <w:p w14:paraId="29361748">
            <w:pPr>
              <w:adjustRightInd w:val="0"/>
              <w:snapToGrid w:val="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EPDM</w:t>
            </w:r>
          </w:p>
        </w:tc>
      </w:tr>
      <w:tr w14:paraId="66F64142">
        <w:tblPrEx>
          <w:tblCellMar>
            <w:top w:w="0" w:type="dxa"/>
            <w:left w:w="108" w:type="dxa"/>
            <w:bottom w:w="0" w:type="dxa"/>
            <w:right w:w="108" w:type="dxa"/>
          </w:tblCellMar>
        </w:tblPrEx>
        <w:tc>
          <w:tcPr>
            <w:tcW w:w="4261" w:type="dxa"/>
            <w:tcBorders>
              <w:top w:val="single" w:color="auto" w:sz="4" w:space="0"/>
              <w:left w:val="single" w:color="auto" w:sz="4" w:space="0"/>
              <w:bottom w:val="single" w:color="auto" w:sz="4" w:space="0"/>
              <w:right w:val="single" w:color="auto" w:sz="4" w:space="0"/>
            </w:tcBorders>
          </w:tcPr>
          <w:p w14:paraId="6A74209B">
            <w:pPr>
              <w:adjustRightInd w:val="0"/>
              <w:snapToGrid w:val="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密封座</w:t>
            </w:r>
          </w:p>
        </w:tc>
        <w:tc>
          <w:tcPr>
            <w:tcW w:w="4261" w:type="dxa"/>
            <w:tcBorders>
              <w:top w:val="single" w:color="auto" w:sz="4" w:space="0"/>
              <w:left w:val="single" w:color="auto" w:sz="4" w:space="0"/>
              <w:bottom w:val="single" w:color="auto" w:sz="4" w:space="0"/>
              <w:right w:val="single" w:color="auto" w:sz="4" w:space="0"/>
            </w:tcBorders>
          </w:tcPr>
          <w:p w14:paraId="7EAC9A47">
            <w:pPr>
              <w:adjustRightInd w:val="0"/>
              <w:snapToGrid w:val="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不锈钢或球墨铸铁整体式阀座</w:t>
            </w:r>
          </w:p>
        </w:tc>
      </w:tr>
      <w:tr w14:paraId="13FD4836">
        <w:tblPrEx>
          <w:tblCellMar>
            <w:top w:w="0" w:type="dxa"/>
            <w:left w:w="108" w:type="dxa"/>
            <w:bottom w:w="0" w:type="dxa"/>
            <w:right w:w="108" w:type="dxa"/>
          </w:tblCellMar>
        </w:tblPrEx>
        <w:tc>
          <w:tcPr>
            <w:tcW w:w="4261" w:type="dxa"/>
            <w:tcBorders>
              <w:top w:val="single" w:color="auto" w:sz="4" w:space="0"/>
              <w:left w:val="single" w:color="auto" w:sz="4" w:space="0"/>
              <w:bottom w:val="single" w:color="auto" w:sz="4" w:space="0"/>
              <w:right w:val="single" w:color="auto" w:sz="4" w:space="0"/>
            </w:tcBorders>
          </w:tcPr>
          <w:p w14:paraId="3BB919EC">
            <w:pPr>
              <w:adjustRightInd w:val="0"/>
              <w:snapToGrid w:val="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加长杆及附件</w:t>
            </w:r>
          </w:p>
        </w:tc>
        <w:tc>
          <w:tcPr>
            <w:tcW w:w="4261" w:type="dxa"/>
            <w:tcBorders>
              <w:top w:val="single" w:color="auto" w:sz="4" w:space="0"/>
              <w:left w:val="single" w:color="auto" w:sz="4" w:space="0"/>
              <w:bottom w:val="single" w:color="auto" w:sz="4" w:space="0"/>
              <w:right w:val="single" w:color="auto" w:sz="4" w:space="0"/>
            </w:tcBorders>
          </w:tcPr>
          <w:p w14:paraId="136194C5">
            <w:pPr>
              <w:adjustRightInd w:val="0"/>
              <w:snapToGrid w:val="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碳钢防腐</w:t>
            </w:r>
          </w:p>
        </w:tc>
      </w:tr>
      <w:tr w14:paraId="4E7E750A">
        <w:tblPrEx>
          <w:tblCellMar>
            <w:top w:w="0" w:type="dxa"/>
            <w:left w:w="108" w:type="dxa"/>
            <w:bottom w:w="0" w:type="dxa"/>
            <w:right w:w="108" w:type="dxa"/>
          </w:tblCellMar>
        </w:tblPrEx>
        <w:tc>
          <w:tcPr>
            <w:tcW w:w="4261" w:type="dxa"/>
            <w:tcBorders>
              <w:top w:val="single" w:color="auto" w:sz="4" w:space="0"/>
              <w:left w:val="single" w:color="auto" w:sz="4" w:space="0"/>
              <w:bottom w:val="single" w:color="auto" w:sz="4" w:space="0"/>
              <w:right w:val="single" w:color="auto" w:sz="4" w:space="0"/>
            </w:tcBorders>
          </w:tcPr>
          <w:p w14:paraId="58F7A73C">
            <w:pPr>
              <w:adjustRightInd w:val="0"/>
              <w:snapToGrid w:val="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所有连接附件及地脚螺丝</w:t>
            </w:r>
          </w:p>
        </w:tc>
        <w:tc>
          <w:tcPr>
            <w:tcW w:w="4261" w:type="dxa"/>
            <w:tcBorders>
              <w:top w:val="single" w:color="auto" w:sz="4" w:space="0"/>
              <w:left w:val="single" w:color="auto" w:sz="4" w:space="0"/>
              <w:bottom w:val="single" w:color="auto" w:sz="4" w:space="0"/>
              <w:right w:val="single" w:color="auto" w:sz="4" w:space="0"/>
            </w:tcBorders>
          </w:tcPr>
          <w:p w14:paraId="67AB2A65">
            <w:pPr>
              <w:adjustRightInd w:val="0"/>
              <w:snapToGrid w:val="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不锈钢SS304</w:t>
            </w:r>
          </w:p>
        </w:tc>
      </w:tr>
    </w:tbl>
    <w:p w14:paraId="3A0C6054">
      <w:pPr>
        <w:adjustRightInd w:val="0"/>
        <w:snapToGrid w:val="0"/>
        <w:spacing w:before="156" w:beforeLines="50" w:line="360" w:lineRule="auto"/>
        <w:ind w:firstLine="240" w:firstLineChars="1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③、手动传动机构</w:t>
      </w:r>
    </w:p>
    <w:p w14:paraId="66CD79AB">
      <w:pPr>
        <w:adjustRightInd w:val="0"/>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（1）方头式</w:t>
      </w:r>
    </w:p>
    <w:p w14:paraId="7DED6307">
      <w:pPr>
        <w:adjustRightInd w:val="0"/>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地下式安装采用方头式，方头在阀门顶部，根据图纸加长至所示位置，每个阀门配闸钥匙一套，操作方向顺时针为关闭，逆时针为开启。</w:t>
      </w:r>
    </w:p>
    <w:p w14:paraId="3B6ECD4C">
      <w:pPr>
        <w:adjustRightInd w:val="0"/>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如需阀杆加长，</w:t>
      </w:r>
      <w:r>
        <w:rPr>
          <w:rFonts w:hint="eastAsia" w:asciiTheme="majorEastAsia" w:hAnsiTheme="majorEastAsia" w:eastAsiaTheme="majorEastAsia" w:cstheme="majorEastAsia"/>
          <w:kern w:val="0"/>
          <w:sz w:val="24"/>
          <w:szCs w:val="24"/>
        </w:rPr>
        <w:t>制造商应根据阀门井的深度，考虑配置阀杆支撑架形式及数量由制造商根据实际情况确定。</w:t>
      </w:r>
    </w:p>
    <w:p w14:paraId="3E303DD5">
      <w:pPr>
        <w:adjustRightInd w:val="0"/>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在额定压力下人工操作闸钥匙开启或关闭的最大作用力</w:t>
      </w:r>
      <w:r>
        <w:rPr>
          <w:rFonts w:hint="eastAsia" w:asciiTheme="majorEastAsia" w:hAnsiTheme="majorEastAsia" w:eastAsiaTheme="majorEastAsia" w:cstheme="majorEastAsia"/>
          <w:kern w:val="0"/>
          <w:sz w:val="24"/>
          <w:szCs w:val="24"/>
        </w:rPr>
        <w:t>应不大于</w:t>
      </w:r>
      <w:r>
        <w:rPr>
          <w:rFonts w:hint="eastAsia" w:asciiTheme="majorEastAsia" w:hAnsiTheme="majorEastAsia" w:eastAsiaTheme="majorEastAsia" w:cstheme="majorEastAsia"/>
          <w:sz w:val="24"/>
          <w:szCs w:val="24"/>
        </w:rPr>
        <w:t>150N，阀门关闭及开启力矩小，无论口径大小、无须用延长杆即可轻松关闭或开启。所有传动机构的受力部件能经受2倍的额定力矩而无任何损伤。</w:t>
      </w:r>
    </w:p>
    <w:p w14:paraId="0914F14F">
      <w:pPr>
        <w:autoSpaceDE w:val="0"/>
        <w:autoSpaceDN w:val="0"/>
        <w:adjustRightInd w:val="0"/>
        <w:snapToGrid w:val="0"/>
        <w:spacing w:line="360" w:lineRule="auto"/>
        <w:ind w:firstLine="480" w:firstLineChars="200"/>
        <w:jc w:val="left"/>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蝶阀应设置清晰可见的开度指示装置，指示器盘面朝上，开关指针与刻度应准确可靠，能够准确显示阀门实际开启情况。</w:t>
      </w:r>
    </w:p>
    <w:p w14:paraId="5040A510">
      <w:pPr>
        <w:adjustRightInd w:val="0"/>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（2）手轮式</w:t>
      </w:r>
    </w:p>
    <w:p w14:paraId="34485655">
      <w:pPr>
        <w:autoSpaceDE w:val="0"/>
        <w:autoSpaceDN w:val="0"/>
        <w:adjustRightInd w:val="0"/>
        <w:snapToGrid w:val="0"/>
        <w:spacing w:line="360" w:lineRule="auto"/>
        <w:ind w:firstLine="480" w:firstLineChars="200"/>
        <w:jc w:val="left"/>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蝶阀操作手轮的安装方向及位置应与现场操作条件相符，保证有足够的操作空间。动装置应密封可靠，加长杆长度考虑配置阀杆支撑架形式及数量由制造商根据实际情况确定。制造商在阀门加工前应进行设计确认，确保阀门安装尺寸正确。</w:t>
      </w:r>
    </w:p>
    <w:p w14:paraId="4A3000AF">
      <w:pPr>
        <w:adjustRightInd w:val="0"/>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在额定压力下手轮开启或关闭的最大作用力</w:t>
      </w:r>
      <w:r>
        <w:rPr>
          <w:rFonts w:hint="eastAsia" w:asciiTheme="majorEastAsia" w:hAnsiTheme="majorEastAsia" w:eastAsiaTheme="majorEastAsia" w:cstheme="majorEastAsia"/>
          <w:kern w:val="0"/>
          <w:sz w:val="24"/>
          <w:szCs w:val="24"/>
        </w:rPr>
        <w:t>应不大于</w:t>
      </w:r>
      <w:r>
        <w:rPr>
          <w:rFonts w:hint="eastAsia" w:asciiTheme="majorEastAsia" w:hAnsiTheme="majorEastAsia" w:eastAsiaTheme="majorEastAsia" w:cstheme="majorEastAsia"/>
          <w:sz w:val="24"/>
          <w:szCs w:val="24"/>
        </w:rPr>
        <w:t>150N，阀门关闭及开启力矩小，无论口径大小、无须用延长杆即可轻松关闭或开启。所有传动机构的受力部件能经受2倍的额定力矩而无任何损伤。</w:t>
      </w:r>
    </w:p>
    <w:p w14:paraId="2F8BBD0E">
      <w:pPr>
        <w:autoSpaceDE w:val="0"/>
        <w:autoSpaceDN w:val="0"/>
        <w:adjustRightInd w:val="0"/>
        <w:snapToGrid w:val="0"/>
        <w:spacing w:line="360" w:lineRule="auto"/>
        <w:ind w:firstLine="480" w:firstLineChars="200"/>
        <w:jc w:val="left"/>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蝶阀应设置清晰可见的开度指示装置，指示器盘面朝上，开关指针与刻度应准确可靠，能够准确显示阀门实际开启情况。</w:t>
      </w:r>
    </w:p>
    <w:p w14:paraId="4941807B">
      <w:pPr>
        <w:snapToGrid w:val="0"/>
        <w:spacing w:line="360" w:lineRule="auto"/>
        <w:ind w:firstLine="240" w:firstLineChars="1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④、电动装置</w:t>
      </w:r>
    </w:p>
    <w:p w14:paraId="3F37B580">
      <w:pPr>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（1）开关型电动装置</w:t>
      </w:r>
    </w:p>
    <w:p w14:paraId="09683A6A">
      <w:pPr>
        <w:adjustRightInd w:val="0"/>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电源：380V、AC、50Hz。</w:t>
      </w:r>
    </w:p>
    <w:p w14:paraId="4278B775">
      <w:pPr>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环境条件：使用的环境温度 -25℃~+85℃，使用的环境相对湿度&lt;95%。</w:t>
      </w:r>
    </w:p>
    <w:p w14:paraId="5E858545">
      <w:pPr>
        <w:adjustRightInd w:val="0"/>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应选用阀门-电动装置智能设备，位置传感器带遥控器操控，LCD 液晶显示，</w:t>
      </w:r>
    </w:p>
    <w:p w14:paraId="542B7951">
      <w:pPr>
        <w:adjustRightInd w:val="0"/>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免开盖调试，力矩可以自由设定。</w:t>
      </w:r>
    </w:p>
    <w:p w14:paraId="716A5B3C">
      <w:pPr>
        <w:adjustRightInd w:val="0"/>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电动装置应采用双密封结构。</w:t>
      </w:r>
    </w:p>
    <w:p w14:paraId="721D0699">
      <w:pPr>
        <w:adjustRightInd w:val="0"/>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电动装置应可以通过遥控器进行非侵入式设定，并配备液晶显示。</w:t>
      </w:r>
    </w:p>
    <w:p w14:paraId="2B806E4F">
      <w:pPr>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电动装置为电动机驱动多圈回转型，适用于现场操作，并应在供电电压降到正常电压的90%时仍能正常运行。电机每小时允许起动次数应大于15 次。电动装置的齿轮箱应为全封闭油浴润滑型。齿面硬度不低于HRC58，轴承寿命不小于100000 小时。</w:t>
      </w:r>
    </w:p>
    <w:p w14:paraId="359A5A39">
      <w:pPr>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电动装置的阀位测量及控制采用非接触式霍尔元件，能够准确测量阀位和控制阀门行程，不得采用模拟电位器；阀位显示为数字量连续指示，开度递增量为1%。配置性能可靠全行程保护的力矩传感器，接电容量为250VAC，1A。电动装置应配有手/自动切换机构，该机构不得与电机输出轴直接相连，确保在低速安全的状态下进行切换；并配有离合装置，在电动操作时手轮不会随时转动。</w:t>
      </w:r>
    </w:p>
    <w:p w14:paraId="2818A40D">
      <w:pPr>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通过现场控面板可以进行“远方-停机-现场”；“开- 关”现场操作，操作开关应为可控制内部的磁力弹簧旋钮开关，非传统按钮式开关，避免因贯通轴处密封遭到破坏后，影响执行器整体密封性。电动执行机构带有背景照明系统液晶显示屏，通过简明的数字、字母及符号显示执行机构状态及故障信息，应为中文菜单，方便人员操作，自带9V 电池，在现场断电的情况下可使液晶显示器及执行器远程指示触点得以保持或更新。</w:t>
      </w:r>
    </w:p>
    <w:p w14:paraId="554B83C2">
      <w:pPr>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电动装置应具有完全非侵入式设计，可通过具有红外功能的手操器进行设定，避免开盖调试对设备密封性的影响。</w:t>
      </w:r>
    </w:p>
    <w:p w14:paraId="629D3502">
      <w:pPr>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电动执行器可输出信号：开到位、关到位、远控/现场状态、故障等，常开点与常闭点可通过执行器参数设定组态完成，适用于不同控制系统要求。</w:t>
      </w:r>
    </w:p>
    <w:p w14:paraId="40FF0C7A">
      <w:pPr>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防护等级：安装在室内须达到IP55 的防护等级要求，安装在室外须达到IP65的防护等级要求，绝缘等级：F。</w:t>
      </w:r>
    </w:p>
    <w:p w14:paraId="479D395E">
      <w:pPr>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电动执行机构配置手轮和手/自动切换机构，手轮要侧装。采用独立手动传动完全与电机脱离。电动操作时解除了手轮离合器啮合机构，确保带电操作时手轮不会动作。电动执行机构手轮（柄）上有关闭方向指示。手/自动切换机构应灵敏可靠，电动时手轮不得转动。</w:t>
      </w:r>
    </w:p>
    <w:p w14:paraId="11CF9D1A">
      <w:pPr>
        <w:adjustRightInd w:val="0"/>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如需阀杆加长，</w:t>
      </w:r>
      <w:r>
        <w:rPr>
          <w:rFonts w:hint="eastAsia" w:asciiTheme="majorEastAsia" w:hAnsiTheme="majorEastAsia" w:eastAsiaTheme="majorEastAsia" w:cstheme="majorEastAsia"/>
          <w:kern w:val="0"/>
          <w:sz w:val="24"/>
          <w:szCs w:val="24"/>
        </w:rPr>
        <w:t>制造商应根据阀门井的深度，考虑配置阀杆支撑架形式及数量由制造商根据实际情况确定。</w:t>
      </w:r>
    </w:p>
    <w:p w14:paraId="447C6A90">
      <w:pPr>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（2）调节型电动装置</w:t>
      </w:r>
    </w:p>
    <w:p w14:paraId="175E5A0E">
      <w:pPr>
        <w:adjustRightInd w:val="0"/>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电源：380V、AC、50Hz。</w:t>
      </w:r>
    </w:p>
    <w:p w14:paraId="47B414BD">
      <w:pPr>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环境条件：使用的环境温度 -25℃~+85℃，使用的环境相对湿度&lt;95%。</w:t>
      </w:r>
    </w:p>
    <w:p w14:paraId="45FC41AF">
      <w:pPr>
        <w:adjustRightInd w:val="0"/>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应选用阀门-电动装置智能设备，位置传感器带遥控器操控，LCD 液晶显示，</w:t>
      </w:r>
    </w:p>
    <w:p w14:paraId="31128E81">
      <w:pPr>
        <w:adjustRightInd w:val="0"/>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免开盖调试，力矩可以自由设定。</w:t>
      </w:r>
    </w:p>
    <w:p w14:paraId="5B321C53">
      <w:pPr>
        <w:adjustRightInd w:val="0"/>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电动装置应采用双密封结构。</w:t>
      </w:r>
    </w:p>
    <w:p w14:paraId="38CF2CF8">
      <w:pPr>
        <w:adjustRightInd w:val="0"/>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电动装置应可以通过遥控器进行非侵入式设定，并配备液晶显示。</w:t>
      </w:r>
    </w:p>
    <w:p w14:paraId="54A895B9">
      <w:pPr>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电动装置为电动机驱动多圈回转型，适用于现场操作，并应在供电电压降到正常电压的90%时仍能正常运行。电机每小时允许起动次数应大于15 次。电动装置的齿轮箱应为全封闭油浴润滑型。齿面硬度不低于HRC58，轴承寿命不小于100000 小时。</w:t>
      </w:r>
    </w:p>
    <w:p w14:paraId="4034B206">
      <w:pPr>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电动装置的阀位测量及控制采用非接触式霍尔元件，能够准确测量阀位和控制阀门行程，不得采用模拟电位器；阀位显示为数字量连续指示，开度递增量为1%。配置性能可靠全行程保护的力矩传感器，接电容量为250VAC，1A。电动装置应配有手/自动切换机构，该机构不得与电机输出轴直接相连，确保在低速安全的状态下进行切换；并配有离合装置，在电动操作时手轮不会随时转动。</w:t>
      </w:r>
    </w:p>
    <w:p w14:paraId="3CF27D3B">
      <w:pPr>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通过现场控面板可以进行“远方-停机-现场”；“开- 关”现场操作，操作开关应为可控制内部的磁力弹簧旋钮开关，非传统按钮式开关，避免因贯通轴处密封遭到破坏后，影响执行器整体密封性。电动执行机构带有背景照明系统液晶显示屏，通过简明的数字、字母及符号显示执行机构状态及故障信息，应为中文菜单，方便人员操作，自带9V 电池，在现场断电的情况下可使液晶显示器及执行器远程指示触点得以保持或更新。开度指示应为1%~99%数字量递增。</w:t>
      </w:r>
    </w:p>
    <w:p w14:paraId="6D9DDA46">
      <w:pPr>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电动装置应具有完全非侵入式设计，可通过具有红外功能的手操器进行设定，避免开盖调试对设备密封性的影响。</w:t>
      </w:r>
    </w:p>
    <w:p w14:paraId="36DA290E">
      <w:pPr>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电动执行器可输出信号：开到位、关到位、远控/现场状态、故障等，常开点与常闭点可通过执行器参数设定组态完成，适用于不同控制系统要求。</w:t>
      </w:r>
    </w:p>
    <w:p w14:paraId="56FDAEF1">
      <w:pPr>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调节型执行机构同时具有阀位4-20mA输出，接受4-20mA控制。</w:t>
      </w:r>
    </w:p>
    <w:p w14:paraId="5E3B4EEE">
      <w:pPr>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防护等级：须达到IP68 的防护等级要求，绝缘等级：F。</w:t>
      </w:r>
    </w:p>
    <w:p w14:paraId="57426A37">
      <w:pPr>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电动执行机构配置手轮和手/自动切换机构，手轮要侧装。采用独立手动传动完全与电机脱离。电动操作时解除了手轮离合器啮合机构，确保带电操作时手轮不会动作。电动执行机构手轮（柄）上有关闭方向指示。手/自动切换机构应灵敏可靠，电动时手轮不得转动。</w:t>
      </w:r>
    </w:p>
    <w:p w14:paraId="366FF29C">
      <w:pPr>
        <w:adjustRightInd w:val="0"/>
        <w:snapToGrid w:val="0"/>
        <w:spacing w:line="360" w:lineRule="auto"/>
        <w:ind w:firstLine="480" w:firstLineChars="200"/>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sz w:val="24"/>
          <w:szCs w:val="24"/>
        </w:rPr>
        <w:t>如需阀杆加长，</w:t>
      </w:r>
      <w:r>
        <w:rPr>
          <w:rFonts w:hint="eastAsia" w:asciiTheme="majorEastAsia" w:hAnsiTheme="majorEastAsia" w:eastAsiaTheme="majorEastAsia" w:cstheme="majorEastAsia"/>
          <w:kern w:val="0"/>
          <w:sz w:val="24"/>
          <w:szCs w:val="24"/>
        </w:rPr>
        <w:t>制造商应根据阀门井的深度，考虑配置阀杆支撑架形式及数量由制造商根据实际情况确定。</w:t>
      </w:r>
    </w:p>
    <w:p w14:paraId="6A0F062F">
      <w:pPr>
        <w:adjustRightInd w:val="0"/>
        <w:snapToGrid w:val="0"/>
        <w:spacing w:line="360" w:lineRule="auto"/>
        <w:ind w:firstLine="240" w:firstLineChars="100"/>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sz w:val="24"/>
          <w:szCs w:val="24"/>
        </w:rPr>
        <w:t>⑤、</w:t>
      </w:r>
      <w:r>
        <w:rPr>
          <w:rFonts w:hint="eastAsia" w:asciiTheme="majorEastAsia" w:hAnsiTheme="majorEastAsia" w:eastAsiaTheme="majorEastAsia" w:cstheme="majorEastAsia"/>
          <w:kern w:val="0"/>
          <w:sz w:val="24"/>
          <w:szCs w:val="24"/>
        </w:rPr>
        <w:t>气动装置</w:t>
      </w:r>
    </w:p>
    <w:p w14:paraId="3ABAAC61">
      <w:pPr>
        <w:pStyle w:val="4"/>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工作介质：过滤后压缩空气；</w:t>
      </w:r>
    </w:p>
    <w:p w14:paraId="463782FA">
      <w:pPr>
        <w:pStyle w:val="4"/>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介质温度：-20～80℃；</w:t>
      </w:r>
    </w:p>
    <w:p w14:paraId="4271AC25">
      <w:pPr>
        <w:pStyle w:val="4"/>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各部分材质要求：</w:t>
      </w:r>
    </w:p>
    <w:p w14:paraId="3F0C1D14">
      <w:pPr>
        <w:pStyle w:val="4"/>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缸体：外壳采用高度耐腐蚀的阳极氧化压铸铝合金</w:t>
      </w:r>
    </w:p>
    <w:p w14:paraId="40CE0042">
      <w:pPr>
        <w:pStyle w:val="4"/>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端盖：压铸铝合金喷漆</w:t>
      </w:r>
    </w:p>
    <w:p w14:paraId="6CD0DE8D">
      <w:pPr>
        <w:pStyle w:val="4"/>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活塞：压铸铝合金，经阳极氧化防腐处理。</w:t>
      </w:r>
    </w:p>
    <w:p w14:paraId="51F2037D">
      <w:pPr>
        <w:pStyle w:val="4"/>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活塞杆、螺栓、调节螺母：不锈钢SS304</w:t>
      </w:r>
    </w:p>
    <w:p w14:paraId="438265ED">
      <w:pPr>
        <w:pStyle w:val="4"/>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垫片：NBR</w:t>
      </w:r>
    </w:p>
    <w:p w14:paraId="73C1193E">
      <w:pPr>
        <w:pStyle w:val="4"/>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驱动轴：轴承钢</w:t>
      </w:r>
    </w:p>
    <w:p w14:paraId="54AA6084">
      <w:pPr>
        <w:pStyle w:val="4"/>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密封：聚氨脂，丁晴橡胶，聚醋酸脂。</w:t>
      </w:r>
    </w:p>
    <w:p w14:paraId="6EDA950D">
      <w:pPr>
        <w:pStyle w:val="4"/>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无论开关型蝶阀，所有气动执行器均应装配快插接头、消音器及过滤减压阀，元件间用管连接，同阀门装配为一体，调试好后整体供货，具体要求如下：</w:t>
      </w:r>
    </w:p>
    <w:p w14:paraId="614029B5">
      <w:pPr>
        <w:pStyle w:val="4"/>
        <w:snapToGrid w:val="0"/>
        <w:spacing w:line="360" w:lineRule="auto"/>
        <w:ind w:firstLine="600" w:firstLineChars="25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快插接头外部接口尺寸为Φ8mm，所有的接头在配管后，不得出现漏气；</w:t>
      </w:r>
    </w:p>
    <w:p w14:paraId="474188D4">
      <w:pPr>
        <w:pStyle w:val="4"/>
        <w:snapToGrid w:val="0"/>
        <w:spacing w:line="360" w:lineRule="auto"/>
        <w:ind w:firstLine="600" w:firstLineChars="25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过滤减压阀的过滤精度必须满足：最大颗粒直径&lt;5μm，含量&lt;5mg/m</w:t>
      </w:r>
      <w:r>
        <w:rPr>
          <w:rFonts w:hint="eastAsia" w:asciiTheme="majorEastAsia" w:hAnsiTheme="majorEastAsia" w:eastAsiaTheme="majorEastAsia" w:cstheme="majorEastAsia"/>
          <w:sz w:val="24"/>
          <w:szCs w:val="24"/>
          <w:vertAlign w:val="superscript"/>
        </w:rPr>
        <w:t>3</w:t>
      </w:r>
      <w:r>
        <w:rPr>
          <w:rFonts w:hint="eastAsia" w:asciiTheme="majorEastAsia" w:hAnsiTheme="majorEastAsia" w:eastAsiaTheme="majorEastAsia" w:cstheme="majorEastAsia"/>
          <w:sz w:val="24"/>
          <w:szCs w:val="24"/>
        </w:rPr>
        <w:t>；</w:t>
      </w:r>
    </w:p>
    <w:p w14:paraId="7086A22B">
      <w:pPr>
        <w:pStyle w:val="4"/>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油滴&lt;1mg/m</w:t>
      </w:r>
      <w:r>
        <w:rPr>
          <w:rFonts w:hint="eastAsia" w:asciiTheme="majorEastAsia" w:hAnsiTheme="majorEastAsia" w:eastAsiaTheme="majorEastAsia" w:cstheme="majorEastAsia"/>
          <w:sz w:val="24"/>
          <w:szCs w:val="24"/>
          <w:vertAlign w:val="superscript"/>
        </w:rPr>
        <w:t>3</w:t>
      </w:r>
      <w:r>
        <w:rPr>
          <w:rFonts w:hint="eastAsia" w:asciiTheme="majorEastAsia" w:hAnsiTheme="majorEastAsia" w:eastAsiaTheme="majorEastAsia" w:cstheme="majorEastAsia"/>
          <w:sz w:val="24"/>
          <w:szCs w:val="24"/>
        </w:rPr>
        <w:t>。</w:t>
      </w:r>
    </w:p>
    <w:p w14:paraId="47B0108E">
      <w:pPr>
        <w:pStyle w:val="4"/>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开关型气动驱动装置应配二位五通电磁阀和位置开关；气缸执行机构采用齿轮/齿条紧凑型结构，永久性润滑，活塞配有防磨擦O型圈，活塞与齿条一体化设计。</w:t>
      </w:r>
    </w:p>
    <w:p w14:paraId="0E7DEA66">
      <w:pPr>
        <w:pStyle w:val="4"/>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气缸执行机构采用双作用形式，气缸应能保用百万次以上；</w:t>
      </w:r>
    </w:p>
    <w:p w14:paraId="2CA26F04">
      <w:pPr>
        <w:pStyle w:val="4"/>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气缸耐受气源压力：1.0MPa；</w:t>
      </w:r>
    </w:p>
    <w:p w14:paraId="6A32EAAD">
      <w:pPr>
        <w:pStyle w:val="4"/>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气缸供气压力：0.6MPa；</w:t>
      </w:r>
    </w:p>
    <w:p w14:paraId="289B320D">
      <w:pPr>
        <w:pStyle w:val="4"/>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标准行程：角度程0~90°，接口：d=8mm；</w:t>
      </w:r>
    </w:p>
    <w:p w14:paraId="3E85CCF7">
      <w:pPr>
        <w:pStyle w:val="4"/>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从进气口到两个工作口的气路要求置于气缸内，一次成型的通路，不用外露气管；</w:t>
      </w:r>
    </w:p>
    <w:p w14:paraId="4F9E1571">
      <w:pPr>
        <w:pStyle w:val="4"/>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气动执行器旋转角微调终止角度为±5°，阀门的开、关位置可以同时独立调节，以相应控制阀门开关状态的极限机械位置；</w:t>
      </w:r>
    </w:p>
    <w:p w14:paraId="61F3D011">
      <w:pPr>
        <w:pStyle w:val="4"/>
        <w:snapToGrid w:val="0"/>
        <w:spacing w:line="360" w:lineRule="auto"/>
        <w:ind w:firstLine="480"/>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带双向限位开关</w:t>
      </w:r>
    </w:p>
    <w:p w14:paraId="5743A93B">
      <w:pPr>
        <w:keepNext/>
        <w:keepLines/>
        <w:numPr>
          <w:ilvl w:val="3"/>
          <w:numId w:val="0"/>
        </w:numPr>
        <w:tabs>
          <w:tab w:val="left" w:pos="0"/>
        </w:tabs>
        <w:snapToGrid w:val="0"/>
        <w:spacing w:line="360" w:lineRule="auto"/>
        <w:ind w:left="850" w:hanging="850"/>
        <w:outlineLvl w:val="3"/>
        <w:rPr>
          <w:rFonts w:hint="eastAsia" w:asciiTheme="majorEastAsia" w:hAnsiTheme="majorEastAsia" w:eastAsiaTheme="majorEastAsia" w:cstheme="majorEastAsia"/>
          <w:bCs/>
          <w:sz w:val="24"/>
          <w:szCs w:val="24"/>
        </w:rPr>
      </w:pPr>
      <w:r>
        <w:rPr>
          <w:rFonts w:hint="eastAsia" w:asciiTheme="majorEastAsia" w:hAnsiTheme="majorEastAsia" w:eastAsiaTheme="majorEastAsia" w:cstheme="majorEastAsia"/>
          <w:bCs/>
          <w:sz w:val="24"/>
          <w:szCs w:val="24"/>
          <w:lang w:val="en-US" w:eastAsia="zh-CN"/>
        </w:rPr>
        <w:t>2、</w:t>
      </w:r>
      <w:r>
        <w:rPr>
          <w:rFonts w:hint="eastAsia" w:asciiTheme="majorEastAsia" w:hAnsiTheme="majorEastAsia" w:eastAsiaTheme="majorEastAsia" w:cstheme="majorEastAsia"/>
          <w:bCs/>
          <w:sz w:val="24"/>
          <w:szCs w:val="24"/>
        </w:rPr>
        <w:t>闸门</w:t>
      </w:r>
    </w:p>
    <w:p w14:paraId="32089C59">
      <w:pPr>
        <w:snapToGrid w:val="0"/>
        <w:spacing w:line="360" w:lineRule="auto"/>
        <w:ind w:firstLine="240" w:firstLineChars="1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①、结构及性能</w:t>
      </w:r>
    </w:p>
    <w:p w14:paraId="70764D7E">
      <w:pPr>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每套闸门应包括电动装置、闸板、闸框、闸杆、操作柱及地脚螺栓等联接件。闸板阀应该作为一个完整的整体提供和安装，不得将其部件（如闸板和闸框）拆开提供。</w:t>
      </w:r>
    </w:p>
    <w:p w14:paraId="31BCF077">
      <w:pPr>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闸框应采用不锈钢板经平板、折弯后焊接而成，具有足够的断面满足使用要求。闸框的安全系数应不小于5，具有足够的抗拉、抗压、抗剪强度，能承受最大工作荷载。</w:t>
      </w:r>
    </w:p>
    <w:p w14:paraId="20E1B391">
      <w:pPr>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闸框的几何尺寸偏差、止水面的平面度误差、下料表面的粗糙度不得低于GB/T 14173标准的要求。安装和维修时闸板应能从闸框中取出。</w:t>
      </w:r>
    </w:p>
    <w:p w14:paraId="45F779CD">
      <w:pPr>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闸板应采用整块不锈钢板制造，闸板迎水面设有加劲肋以适应工作水压的要求。闸板的安全系数应不小于5，具有足够的抗拉、抗压、抗剪强度。在最大水头工况下，闸板不能出现任何影响闸门正常运行的变形，*最大挠度不得大于闸板宽度的1/1500。</w:t>
      </w:r>
    </w:p>
    <w:p w14:paraId="347F183B">
      <w:pPr>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闸板焊接后应进行时效处理，以消除焊接应力。时效处理后进行调平，闸板止水面的平面度必须符合GB1184规定的10级精度。</w:t>
      </w:r>
    </w:p>
    <w:p w14:paraId="09D4257B">
      <w:pPr>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板闸闸杆增设闸杆套筒观察缝。板闸设计有上开型及下开型两种，一般顺时针旋转手轮视为开启，逆时针视为关闭。需标注手轮的开启方向。*闸杆应采用高强度不锈钢实心原料机械加工制造，安全系数不得低于0。应具有足够的强度和稳定性，应能承受至少两倍于电动装置额定输出动力值而不产生纵向弯曲或永久变形。</w:t>
      </w:r>
    </w:p>
    <w:p w14:paraId="6C642265">
      <w:pPr>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螺杆部分应选择合理的的螺距，以保证闸门启闭所需的操作力和转速。其加工精度等级应高于8e，表面粗糙度高于1.6μm，以保证传动精度和螺杆寿命。</w:t>
      </w:r>
    </w:p>
    <w:p w14:paraId="04CC02CE">
      <w:pPr>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导杆可以采用厚壁不锈钢无缝管制造，两端分别与闸杆和闸门联接。导杆的L／R值不能超过200（L为两支承间距离；R为杆截面半径）。</w:t>
      </w:r>
    </w:p>
    <w:p w14:paraId="0C6723A6">
      <w:pPr>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采用三元乙丙橡胶密封，密封圈应为整体式。应设置可靠的楔紧装置，在承受反向压力时保证密封紧密可靠。楔紧装置应能够调节，并具有足够的调节量。</w:t>
      </w:r>
    </w:p>
    <w:p w14:paraId="017CC01F">
      <w:pPr>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闸门导轨应采用与闸框同样的材料制造，所有支承面和接触面均进行机械加工。导轨长度应保证在闸门全开时能支承闸板高度的1/2。为保证导杆的稳定性，应根据操作高程在混凝土墙壁上安装与导杆配合的导杆架，导杆架应为剖分式，可以自由拆卸。</w:t>
      </w:r>
    </w:p>
    <w:p w14:paraId="61F9A0DF">
      <w:pPr>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电动和气动驱动装置同蝶阀中有关要求。</w:t>
      </w:r>
    </w:p>
    <w:p w14:paraId="172AF028">
      <w:pPr>
        <w:snapToGrid w:val="0"/>
        <w:spacing w:line="360" w:lineRule="auto"/>
        <w:ind w:firstLine="240" w:firstLineChars="1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②、主要零部件材料</w:t>
      </w:r>
    </w:p>
    <w:tbl>
      <w:tblPr>
        <w:tblStyle w:val="12"/>
        <w:tblW w:w="7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30"/>
        <w:gridCol w:w="3937"/>
      </w:tblGrid>
      <w:tr w14:paraId="63225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630" w:type="dxa"/>
            <w:vAlign w:val="center"/>
          </w:tcPr>
          <w:p w14:paraId="2684034A">
            <w:pPr>
              <w:adjustRightInd w:val="0"/>
              <w:snapToGrid w:val="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名 称</w:t>
            </w:r>
          </w:p>
        </w:tc>
        <w:tc>
          <w:tcPr>
            <w:tcW w:w="3937" w:type="dxa"/>
            <w:vAlign w:val="center"/>
          </w:tcPr>
          <w:p w14:paraId="77B7BF2B">
            <w:pPr>
              <w:adjustRightInd w:val="0"/>
              <w:snapToGrid w:val="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材 质</w:t>
            </w:r>
          </w:p>
        </w:tc>
      </w:tr>
      <w:tr w14:paraId="18F14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630" w:type="dxa"/>
            <w:vAlign w:val="center"/>
          </w:tcPr>
          <w:p w14:paraId="02F213C6">
            <w:pPr>
              <w:pStyle w:val="4"/>
              <w:ind w:firstLine="0" w:firstLineChars="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闸框</w:t>
            </w:r>
          </w:p>
        </w:tc>
        <w:tc>
          <w:tcPr>
            <w:tcW w:w="3937" w:type="dxa"/>
            <w:vAlign w:val="center"/>
          </w:tcPr>
          <w:p w14:paraId="1E045739">
            <w:pPr>
              <w:pStyle w:val="4"/>
              <w:ind w:firstLine="0" w:firstLineChars="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不锈钢SS304/SS316L</w:t>
            </w:r>
          </w:p>
        </w:tc>
      </w:tr>
      <w:tr w14:paraId="3D661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630" w:type="dxa"/>
            <w:vAlign w:val="center"/>
          </w:tcPr>
          <w:p w14:paraId="7200F36D">
            <w:pPr>
              <w:pStyle w:val="4"/>
              <w:ind w:firstLine="0" w:firstLineChars="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闸板</w:t>
            </w:r>
          </w:p>
        </w:tc>
        <w:tc>
          <w:tcPr>
            <w:tcW w:w="3937" w:type="dxa"/>
            <w:vAlign w:val="center"/>
          </w:tcPr>
          <w:p w14:paraId="6EC08FAB">
            <w:pPr>
              <w:pStyle w:val="4"/>
              <w:ind w:firstLine="0" w:firstLineChars="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不锈钢SS304/SS316L</w:t>
            </w:r>
          </w:p>
        </w:tc>
      </w:tr>
      <w:tr w14:paraId="1E949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630" w:type="dxa"/>
            <w:vAlign w:val="center"/>
          </w:tcPr>
          <w:p w14:paraId="1176B221">
            <w:pPr>
              <w:pStyle w:val="4"/>
              <w:ind w:firstLine="0" w:firstLineChars="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闸杆</w:t>
            </w:r>
          </w:p>
        </w:tc>
        <w:tc>
          <w:tcPr>
            <w:tcW w:w="3937" w:type="dxa"/>
            <w:vAlign w:val="center"/>
          </w:tcPr>
          <w:p w14:paraId="4022A34F">
            <w:pPr>
              <w:pStyle w:val="4"/>
              <w:ind w:firstLine="0" w:firstLineChars="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不锈钢SS304/SS316L</w:t>
            </w:r>
          </w:p>
        </w:tc>
      </w:tr>
      <w:tr w14:paraId="7CC5E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630" w:type="dxa"/>
            <w:vAlign w:val="center"/>
          </w:tcPr>
          <w:p w14:paraId="52A51872">
            <w:pPr>
              <w:pStyle w:val="4"/>
              <w:ind w:firstLine="0" w:firstLineChars="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密封条</w:t>
            </w:r>
          </w:p>
        </w:tc>
        <w:tc>
          <w:tcPr>
            <w:tcW w:w="3937" w:type="dxa"/>
            <w:vAlign w:val="center"/>
          </w:tcPr>
          <w:p w14:paraId="73209871">
            <w:pPr>
              <w:pStyle w:val="4"/>
              <w:ind w:firstLine="0" w:firstLineChars="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三元乙丙橡胶（EPDM）</w:t>
            </w:r>
          </w:p>
        </w:tc>
      </w:tr>
      <w:tr w14:paraId="77393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630" w:type="dxa"/>
            <w:vAlign w:val="center"/>
          </w:tcPr>
          <w:p w14:paraId="7C94A28D">
            <w:pPr>
              <w:pStyle w:val="4"/>
              <w:ind w:firstLine="0" w:firstLineChars="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楔紧装置</w:t>
            </w:r>
          </w:p>
        </w:tc>
        <w:tc>
          <w:tcPr>
            <w:tcW w:w="3937" w:type="dxa"/>
            <w:vAlign w:val="center"/>
          </w:tcPr>
          <w:p w14:paraId="6A367311">
            <w:pPr>
              <w:pStyle w:val="4"/>
              <w:ind w:firstLine="0" w:firstLineChars="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不锈钢SS304/SS316L</w:t>
            </w:r>
          </w:p>
        </w:tc>
      </w:tr>
      <w:tr w14:paraId="2D8BA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630" w:type="dxa"/>
            <w:vAlign w:val="center"/>
          </w:tcPr>
          <w:p w14:paraId="54105A5B">
            <w:pPr>
              <w:pStyle w:val="4"/>
              <w:ind w:firstLine="0" w:firstLineChars="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紧固件及联接件</w:t>
            </w:r>
          </w:p>
        </w:tc>
        <w:tc>
          <w:tcPr>
            <w:tcW w:w="3937" w:type="dxa"/>
            <w:vAlign w:val="center"/>
          </w:tcPr>
          <w:p w14:paraId="551E8498">
            <w:pPr>
              <w:pStyle w:val="4"/>
              <w:ind w:firstLine="0" w:firstLineChars="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不锈钢SS304/SS316L </w:t>
            </w:r>
          </w:p>
        </w:tc>
      </w:tr>
      <w:tr w14:paraId="2CCDD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630" w:type="dxa"/>
            <w:vAlign w:val="center"/>
          </w:tcPr>
          <w:p w14:paraId="6CB038C2">
            <w:pPr>
              <w:pStyle w:val="4"/>
              <w:ind w:firstLine="0" w:firstLineChars="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化学螺栓</w:t>
            </w:r>
          </w:p>
        </w:tc>
        <w:tc>
          <w:tcPr>
            <w:tcW w:w="3937" w:type="dxa"/>
            <w:vAlign w:val="center"/>
          </w:tcPr>
          <w:p w14:paraId="5936C035">
            <w:pPr>
              <w:pStyle w:val="4"/>
              <w:ind w:firstLine="0" w:firstLineChars="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不锈钢SS304/SS316L </w:t>
            </w:r>
          </w:p>
        </w:tc>
      </w:tr>
    </w:tbl>
    <w:p w14:paraId="1E472334">
      <w:pPr>
        <w:keepNext/>
        <w:keepLines/>
        <w:numPr>
          <w:ilvl w:val="3"/>
          <w:numId w:val="0"/>
        </w:numPr>
        <w:tabs>
          <w:tab w:val="left" w:pos="0"/>
        </w:tabs>
        <w:snapToGrid w:val="0"/>
        <w:spacing w:line="360" w:lineRule="auto"/>
        <w:ind w:left="850" w:hanging="850"/>
        <w:outlineLvl w:val="3"/>
        <w:rPr>
          <w:rFonts w:hint="eastAsia" w:asciiTheme="majorEastAsia" w:hAnsiTheme="majorEastAsia" w:eastAsiaTheme="majorEastAsia" w:cstheme="majorEastAsia"/>
          <w:bCs/>
          <w:sz w:val="24"/>
          <w:szCs w:val="24"/>
        </w:rPr>
      </w:pPr>
      <w:r>
        <w:rPr>
          <w:rFonts w:hint="eastAsia" w:asciiTheme="majorEastAsia" w:hAnsiTheme="majorEastAsia" w:eastAsiaTheme="majorEastAsia" w:cstheme="majorEastAsia"/>
          <w:bCs/>
          <w:sz w:val="24"/>
          <w:szCs w:val="24"/>
          <w:lang w:val="en-US" w:eastAsia="zh-CN"/>
        </w:rPr>
        <w:t>3、</w:t>
      </w:r>
      <w:r>
        <w:rPr>
          <w:rFonts w:hint="eastAsia" w:asciiTheme="majorEastAsia" w:hAnsiTheme="majorEastAsia" w:eastAsiaTheme="majorEastAsia" w:cstheme="majorEastAsia"/>
          <w:bCs/>
          <w:sz w:val="24"/>
          <w:szCs w:val="24"/>
        </w:rPr>
        <w:t>软密封闸阀</w:t>
      </w:r>
    </w:p>
    <w:p w14:paraId="4770F453">
      <w:pPr>
        <w:pStyle w:val="4"/>
        <w:snapToGrid w:val="0"/>
        <w:spacing w:line="360" w:lineRule="auto"/>
        <w:ind w:firstLine="240" w:firstLineChars="1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①、结构及性能</w:t>
      </w:r>
    </w:p>
    <w:p w14:paraId="766BF0F0">
      <w:pPr>
        <w:pStyle w:val="4"/>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闸阀的制造应符合国际标准和ANSI/AWWAC509-94《供水和排水系统弹性座密封闸阀》标准或等同标准的规定。</w:t>
      </w:r>
    </w:p>
    <w:p w14:paraId="4080D1E1">
      <w:pPr>
        <w:pStyle w:val="4"/>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闸阀的试验应符合GB/T13927-2008《工业阀门 压力试验》标准的规定。</w:t>
      </w:r>
    </w:p>
    <w:p w14:paraId="795BA47A">
      <w:pPr>
        <w:pStyle w:val="4"/>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法兰连接尺寸及密封面形式应符合</w:t>
      </w:r>
      <w:r>
        <w:rPr>
          <w:rFonts w:hint="eastAsia" w:asciiTheme="majorEastAsia" w:hAnsiTheme="majorEastAsia" w:eastAsiaTheme="majorEastAsia" w:cstheme="majorEastAsia"/>
          <w:bCs/>
          <w:sz w:val="24"/>
          <w:szCs w:val="24"/>
        </w:rPr>
        <w:t>GB/T 17241.6-2008/XG1-2011</w:t>
      </w:r>
      <w:r>
        <w:rPr>
          <w:rFonts w:hint="eastAsia" w:asciiTheme="majorEastAsia" w:hAnsiTheme="majorEastAsia" w:eastAsiaTheme="majorEastAsia" w:cstheme="majorEastAsia"/>
          <w:sz w:val="24"/>
          <w:szCs w:val="24"/>
        </w:rPr>
        <w:t>《整体铸铁法兰》标准中的规定。</w:t>
      </w:r>
    </w:p>
    <w:p w14:paraId="18892A9B">
      <w:pPr>
        <w:pStyle w:val="4"/>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阀门结构长度应符合GB/T12221-2005《金属阀门 结构长度》标准中闸阀结构长度系列的规定。</w:t>
      </w:r>
    </w:p>
    <w:p w14:paraId="610D478F">
      <w:pPr>
        <w:pStyle w:val="4"/>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阀门结构应简单紧凑，操作方便、装拆容易、便于维修。阀体通道应自然平滑，开启时为全通道，无脏物堆积现象，流通阻力小。</w:t>
      </w:r>
    </w:p>
    <w:p w14:paraId="22022AA7">
      <w:pPr>
        <w:pStyle w:val="4"/>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阀体下部应无凹槽，防止污物、泥沙沉积造成阀门关闭不严实或损坏。</w:t>
      </w:r>
    </w:p>
    <w:p w14:paraId="22AA1E38">
      <w:pPr>
        <w:pStyle w:val="4"/>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软密封闸阀应采用弹性密封，阀板包覆优质橡胶，耐腐蚀，零泄漏，使用寿命长。</w:t>
      </w:r>
    </w:p>
    <w:p w14:paraId="2625ADFE">
      <w:pPr>
        <w:pStyle w:val="4"/>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阀轴应设有止推轴承及2道以上的“O”形密封圈，以保证轴密封严密，同时有较小的操作扭矩。</w:t>
      </w:r>
    </w:p>
    <w:p w14:paraId="7F97FA0A">
      <w:pPr>
        <w:pStyle w:val="4"/>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阀门应设置闸铤并带手轮。应尽可能使其操作力矩小，启闭容易。口径相同的闸阀操作扭矩应相同。手轮上应铸有箭头和开关字样。</w:t>
      </w:r>
    </w:p>
    <w:p w14:paraId="5A1EDE81">
      <w:pPr>
        <w:pStyle w:val="4"/>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阀门在使用过程中，应可实现在线快速维修和更换阀板，而无需将阀门从管道卸下。</w:t>
      </w:r>
    </w:p>
    <w:p w14:paraId="6AB31AE5">
      <w:pPr>
        <w:pStyle w:val="4"/>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阀门内外应经高压喷砂除锈处理后（达到Sa2.5级），喷涂环氧树脂漆，厚度大于200µm。</w:t>
      </w:r>
    </w:p>
    <w:p w14:paraId="329A6B60">
      <w:pPr>
        <w:pStyle w:val="4"/>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装配好的阀门启闭应灵活，各传动部位无卡滞现象，无异常机械声响，开关指针与刻度应准确可靠，阀门的启闭方法是：反时针为开，顺时针为关。</w:t>
      </w:r>
    </w:p>
    <w:p w14:paraId="193F633E">
      <w:pPr>
        <w:pStyle w:val="4"/>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手动及电动传动机构要求见6.1.1蝶阀。</w:t>
      </w:r>
    </w:p>
    <w:p w14:paraId="548C2BBB">
      <w:pPr>
        <w:pStyle w:val="4"/>
        <w:snapToGrid w:val="0"/>
        <w:spacing w:line="360" w:lineRule="auto"/>
        <w:ind w:firstLine="240" w:firstLineChars="1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②、主要零部件材料</w:t>
      </w:r>
    </w:p>
    <w:tbl>
      <w:tblPr>
        <w:tblStyle w:val="12"/>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42"/>
        <w:gridCol w:w="4380"/>
      </w:tblGrid>
      <w:tr w14:paraId="3CC5C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42" w:type="dxa"/>
          </w:tcPr>
          <w:p w14:paraId="109D0163">
            <w:pPr>
              <w:adjustRightInd w:val="0"/>
              <w:snapToGrid w:val="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名 称</w:t>
            </w:r>
          </w:p>
        </w:tc>
        <w:tc>
          <w:tcPr>
            <w:tcW w:w="4380" w:type="dxa"/>
          </w:tcPr>
          <w:p w14:paraId="6929B5E9">
            <w:pPr>
              <w:adjustRightInd w:val="0"/>
              <w:snapToGrid w:val="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材 质</w:t>
            </w:r>
          </w:p>
        </w:tc>
      </w:tr>
      <w:tr w14:paraId="79E7A2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42" w:type="dxa"/>
            <w:vAlign w:val="center"/>
          </w:tcPr>
          <w:p w14:paraId="351A1519">
            <w:pPr>
              <w:adjustRightInd w:val="0"/>
              <w:snapToGrid w:val="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阀体、阀盖</w:t>
            </w:r>
          </w:p>
        </w:tc>
        <w:tc>
          <w:tcPr>
            <w:tcW w:w="4380" w:type="dxa"/>
            <w:vAlign w:val="center"/>
          </w:tcPr>
          <w:p w14:paraId="3D8454C1">
            <w:pPr>
              <w:adjustRightInd w:val="0"/>
              <w:snapToGrid w:val="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灰铸铁HT200</w:t>
            </w:r>
          </w:p>
        </w:tc>
      </w:tr>
      <w:tr w14:paraId="7F7FD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42" w:type="dxa"/>
            <w:vAlign w:val="center"/>
          </w:tcPr>
          <w:p w14:paraId="6659F93F">
            <w:pPr>
              <w:adjustRightInd w:val="0"/>
              <w:snapToGrid w:val="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阀板</w:t>
            </w:r>
          </w:p>
        </w:tc>
        <w:tc>
          <w:tcPr>
            <w:tcW w:w="4380" w:type="dxa"/>
            <w:vAlign w:val="center"/>
          </w:tcPr>
          <w:p w14:paraId="62F4F120">
            <w:pPr>
              <w:adjustRightInd w:val="0"/>
              <w:snapToGrid w:val="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灰铸铁HT200+NBR</w:t>
            </w:r>
          </w:p>
        </w:tc>
      </w:tr>
      <w:tr w14:paraId="5F14C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42" w:type="dxa"/>
            <w:vAlign w:val="center"/>
          </w:tcPr>
          <w:p w14:paraId="2847D08D">
            <w:pPr>
              <w:adjustRightInd w:val="0"/>
              <w:snapToGrid w:val="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阀杆</w:t>
            </w:r>
          </w:p>
        </w:tc>
        <w:tc>
          <w:tcPr>
            <w:tcW w:w="4380" w:type="dxa"/>
            <w:vAlign w:val="center"/>
          </w:tcPr>
          <w:p w14:paraId="3CCADBFE">
            <w:pPr>
              <w:adjustRightInd w:val="0"/>
              <w:snapToGrid w:val="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不锈钢 20Cr13</w:t>
            </w:r>
          </w:p>
        </w:tc>
      </w:tr>
      <w:tr w14:paraId="568E9F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42" w:type="dxa"/>
            <w:vAlign w:val="center"/>
          </w:tcPr>
          <w:p w14:paraId="3FD91B54">
            <w:pPr>
              <w:adjustRightInd w:val="0"/>
              <w:snapToGrid w:val="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密封圈</w:t>
            </w:r>
          </w:p>
        </w:tc>
        <w:tc>
          <w:tcPr>
            <w:tcW w:w="4380" w:type="dxa"/>
            <w:vAlign w:val="center"/>
          </w:tcPr>
          <w:p w14:paraId="5F4B48FA">
            <w:pPr>
              <w:adjustRightInd w:val="0"/>
              <w:snapToGrid w:val="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NBR</w:t>
            </w:r>
          </w:p>
        </w:tc>
      </w:tr>
      <w:tr w14:paraId="42C2C6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42" w:type="dxa"/>
            <w:vAlign w:val="center"/>
          </w:tcPr>
          <w:p w14:paraId="3F60E0AF">
            <w:pPr>
              <w:adjustRightInd w:val="0"/>
              <w:snapToGrid w:val="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阀杆螺母</w:t>
            </w:r>
          </w:p>
        </w:tc>
        <w:tc>
          <w:tcPr>
            <w:tcW w:w="4380" w:type="dxa"/>
            <w:vAlign w:val="center"/>
          </w:tcPr>
          <w:p w14:paraId="4C70E85A">
            <w:pPr>
              <w:adjustRightInd w:val="0"/>
              <w:snapToGrid w:val="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铸铜合金 ZCuZn38MnPb</w:t>
            </w:r>
          </w:p>
        </w:tc>
      </w:tr>
      <w:tr w14:paraId="24315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42" w:type="dxa"/>
            <w:vAlign w:val="center"/>
          </w:tcPr>
          <w:p w14:paraId="1EFDE451">
            <w:pPr>
              <w:adjustRightInd w:val="0"/>
              <w:snapToGrid w:val="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手轮</w:t>
            </w:r>
          </w:p>
        </w:tc>
        <w:tc>
          <w:tcPr>
            <w:tcW w:w="4380" w:type="dxa"/>
            <w:vAlign w:val="center"/>
          </w:tcPr>
          <w:p w14:paraId="5AE71193">
            <w:pPr>
              <w:adjustRightInd w:val="0"/>
              <w:snapToGrid w:val="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灰铸铁HT200</w:t>
            </w:r>
          </w:p>
        </w:tc>
      </w:tr>
    </w:tbl>
    <w:p w14:paraId="7B6ECA7B">
      <w:pPr>
        <w:keepNext/>
        <w:keepLines/>
        <w:numPr>
          <w:ilvl w:val="3"/>
          <w:numId w:val="0"/>
        </w:numPr>
        <w:tabs>
          <w:tab w:val="left" w:pos="0"/>
        </w:tabs>
        <w:snapToGrid w:val="0"/>
        <w:spacing w:line="360" w:lineRule="auto"/>
        <w:ind w:left="850" w:hanging="850"/>
        <w:outlineLvl w:val="3"/>
        <w:rPr>
          <w:rFonts w:hint="eastAsia" w:asciiTheme="majorEastAsia" w:hAnsiTheme="majorEastAsia" w:eastAsiaTheme="majorEastAsia" w:cstheme="majorEastAsia"/>
          <w:bCs/>
          <w:sz w:val="24"/>
          <w:szCs w:val="24"/>
        </w:rPr>
      </w:pPr>
      <w:r>
        <w:rPr>
          <w:rFonts w:hint="eastAsia" w:asciiTheme="majorEastAsia" w:hAnsiTheme="majorEastAsia" w:eastAsiaTheme="majorEastAsia" w:cstheme="majorEastAsia"/>
          <w:bCs/>
          <w:sz w:val="24"/>
          <w:szCs w:val="24"/>
          <w:lang w:val="en-US" w:eastAsia="zh-CN"/>
        </w:rPr>
        <w:t>4、</w:t>
      </w:r>
      <w:r>
        <w:rPr>
          <w:rFonts w:hint="eastAsia" w:asciiTheme="majorEastAsia" w:hAnsiTheme="majorEastAsia" w:eastAsiaTheme="majorEastAsia" w:cstheme="majorEastAsia"/>
          <w:bCs/>
          <w:sz w:val="24"/>
          <w:szCs w:val="24"/>
        </w:rPr>
        <w:t>止回阀</w:t>
      </w:r>
    </w:p>
    <w:p w14:paraId="4FD861B5">
      <w:pPr>
        <w:snapToGrid w:val="0"/>
        <w:spacing w:line="360" w:lineRule="auto"/>
        <w:ind w:firstLine="240" w:firstLineChars="1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①、静音止回阀</w:t>
      </w:r>
    </w:p>
    <w:p w14:paraId="3D3FFEBC">
      <w:pPr>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（1）结构性能</w:t>
      </w:r>
    </w:p>
    <w:p w14:paraId="767AA405">
      <w:pPr>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静音止回阀为静音式导流体结构，阀门采用法兰联接。</w:t>
      </w:r>
    </w:p>
    <w:p w14:paraId="50F93773">
      <w:pPr>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止回阀结构设计应满足工作可靠、水头损失小、防止水泵倒流、密封性能好、减小停泵水锤和水击噪声的要求。</w:t>
      </w:r>
    </w:p>
    <w:p w14:paraId="6687D90C">
      <w:pPr>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止回阀应采用速闭式密封组件，停泵时，阀盘在弹簧预应力的作用下，在水倒流前便快速关闭，从而有效地预防和抑制水锤，确保关闭过程中的管道安全。</w:t>
      </w:r>
    </w:p>
    <w:p w14:paraId="7E4545D5">
      <w:pPr>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应采用水头损失低、节能效果好的流线型设计。导流体应设有导流翼式结构，以避免水流通过时出现涡流，保证运行过程的节能和静音效果。</w:t>
      </w:r>
    </w:p>
    <w:p w14:paraId="1F10E929">
      <w:pPr>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阀体内外表面， 应先除去油锈、水份、污物等杂质， 再经喷砂或其他方式处理后，以烤漆工艺喷涂环保型无毒环氧树脂漆两道。其总厚度应达0.125mm以上。所有涂料干后应不溶解于水， 不影响水质，且不因空气、温度变化而发生变异。</w:t>
      </w:r>
    </w:p>
    <w:p w14:paraId="038A4854">
      <w:pPr>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投标时应提供止回阀的阻力系数。</w:t>
      </w:r>
    </w:p>
    <w:p w14:paraId="141F5FF4">
      <w:pPr>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阀体上应有清晰的箭头，以指示介质流经止回阀的流向。</w:t>
      </w:r>
    </w:p>
    <w:p w14:paraId="08AFA223">
      <w:pPr>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（2）主要零部件材料</w:t>
      </w:r>
    </w:p>
    <w:tbl>
      <w:tblPr>
        <w:tblStyle w:val="12"/>
        <w:tblW w:w="8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57"/>
        <w:gridCol w:w="4963"/>
      </w:tblGrid>
      <w:tr w14:paraId="0345C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57" w:type="dxa"/>
            <w:vAlign w:val="center"/>
          </w:tcPr>
          <w:p w14:paraId="6491DAD6">
            <w:pPr>
              <w:adjustRightInd w:val="0"/>
              <w:snapToGrid w:val="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名 称</w:t>
            </w:r>
          </w:p>
        </w:tc>
        <w:tc>
          <w:tcPr>
            <w:tcW w:w="4963" w:type="dxa"/>
            <w:vAlign w:val="center"/>
          </w:tcPr>
          <w:p w14:paraId="0FCCEB16">
            <w:pPr>
              <w:adjustRightInd w:val="0"/>
              <w:snapToGrid w:val="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材 质</w:t>
            </w:r>
          </w:p>
        </w:tc>
      </w:tr>
      <w:tr w14:paraId="34B82C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57" w:type="dxa"/>
            <w:vAlign w:val="center"/>
          </w:tcPr>
          <w:p w14:paraId="3D6A5D50">
            <w:pPr>
              <w:pStyle w:val="4"/>
              <w:adjustRightInd w:val="0"/>
              <w:snapToGrid w:val="0"/>
              <w:ind w:firstLine="0" w:firstLineChars="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阀体、导流体</w:t>
            </w:r>
          </w:p>
        </w:tc>
        <w:tc>
          <w:tcPr>
            <w:tcW w:w="4963" w:type="dxa"/>
            <w:vAlign w:val="center"/>
          </w:tcPr>
          <w:p w14:paraId="0E9B159E">
            <w:pPr>
              <w:pStyle w:val="4"/>
              <w:adjustRightInd w:val="0"/>
              <w:snapToGrid w:val="0"/>
              <w:ind w:firstLine="0" w:firstLineChars="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球墨铸铁 QT450-10</w:t>
            </w:r>
          </w:p>
        </w:tc>
      </w:tr>
      <w:tr w14:paraId="1639C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57" w:type="dxa"/>
            <w:vAlign w:val="center"/>
          </w:tcPr>
          <w:p w14:paraId="3D9A6845">
            <w:pPr>
              <w:pStyle w:val="4"/>
              <w:adjustRightInd w:val="0"/>
              <w:snapToGrid w:val="0"/>
              <w:ind w:firstLine="0" w:firstLineChars="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阀座、阀盘</w:t>
            </w:r>
          </w:p>
        </w:tc>
        <w:tc>
          <w:tcPr>
            <w:tcW w:w="4963" w:type="dxa"/>
            <w:vAlign w:val="center"/>
          </w:tcPr>
          <w:p w14:paraId="216880BA">
            <w:pPr>
              <w:pStyle w:val="4"/>
              <w:adjustRightInd w:val="0"/>
              <w:snapToGrid w:val="0"/>
              <w:ind w:firstLine="0" w:firstLineChars="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bCs/>
                <w:sz w:val="24"/>
                <w:szCs w:val="24"/>
              </w:rPr>
              <w:t>铝青铜</w:t>
            </w:r>
          </w:p>
        </w:tc>
      </w:tr>
      <w:tr w14:paraId="36A71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57" w:type="dxa"/>
            <w:vAlign w:val="center"/>
          </w:tcPr>
          <w:p w14:paraId="667A5AB5">
            <w:pPr>
              <w:pStyle w:val="4"/>
              <w:adjustRightInd w:val="0"/>
              <w:snapToGrid w:val="0"/>
              <w:ind w:firstLine="0" w:firstLineChars="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弹簧</w:t>
            </w:r>
          </w:p>
        </w:tc>
        <w:tc>
          <w:tcPr>
            <w:tcW w:w="4963" w:type="dxa"/>
            <w:vAlign w:val="center"/>
          </w:tcPr>
          <w:p w14:paraId="45507859">
            <w:pPr>
              <w:pStyle w:val="4"/>
              <w:adjustRightInd w:val="0"/>
              <w:snapToGrid w:val="0"/>
              <w:ind w:firstLine="0" w:firstLineChars="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不锈钢SS304</w:t>
            </w:r>
          </w:p>
        </w:tc>
      </w:tr>
    </w:tbl>
    <w:p w14:paraId="19D8E29E">
      <w:pPr>
        <w:adjustRightInd w:val="0"/>
        <w:snapToGrid w:val="0"/>
        <w:spacing w:line="360" w:lineRule="auto"/>
        <w:ind w:firstLine="240" w:firstLineChars="1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②、微阻缓闭止回阀</w:t>
      </w:r>
    </w:p>
    <w:p w14:paraId="6F2B47DA">
      <w:pPr>
        <w:pStyle w:val="4"/>
        <w:adjustRightInd w:val="0"/>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（1）结构及性能</w:t>
      </w:r>
    </w:p>
    <w:p w14:paraId="76C0F52D">
      <w:pPr>
        <w:pStyle w:val="4"/>
        <w:adjustRightInd w:val="0"/>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止回阀用于水泵出水管上，应依靠介质本身压力推动阀板开启，阀门为法兰连接。</w:t>
      </w:r>
    </w:p>
    <w:p w14:paraId="771651C5">
      <w:pPr>
        <w:adjustRightInd w:val="0"/>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该设备应为无动力式、随水泵运行状态而自动启闭。</w:t>
      </w:r>
    </w:p>
    <w:p w14:paraId="0BC8C3C5">
      <w:pPr>
        <w:adjustRightInd w:val="0"/>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正常或事故停泵时，阀门应分快、慢两个阶段自动关阀。</w:t>
      </w:r>
    </w:p>
    <w:p w14:paraId="51FA62C0">
      <w:pPr>
        <w:adjustRightInd w:val="0"/>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阀门关闭后，应能有效防止水体倒流，防止破坏性停泵水锤发生，控制水泵反向转速。</w:t>
      </w:r>
    </w:p>
    <w:p w14:paraId="28BADCCE">
      <w:pPr>
        <w:adjustRightInd w:val="0"/>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工称压力1.0MPa，水锤峰值不超过1.2倍工作压力。</w:t>
      </w:r>
    </w:p>
    <w:p w14:paraId="4313417B">
      <w:pPr>
        <w:pStyle w:val="4"/>
        <w:adjustRightInd w:val="0"/>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阀体内外表面，应先除去油锈、水份、污物等杂质， 再经喷砂或其他方式处理后，以烤漆工艺喷涂环保型无毒环氧树脂漆两道。其总厚度应达0.125mm以上。所有涂料干后应不溶解于水， 不影响水质，且不因空气、温度变化而发生变异。</w:t>
      </w:r>
    </w:p>
    <w:p w14:paraId="4DAE80D9">
      <w:pPr>
        <w:pStyle w:val="4"/>
        <w:adjustRightInd w:val="0"/>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阀体上应有清晰的箭头，以指示介质流经止回阀的流向。</w:t>
      </w:r>
    </w:p>
    <w:p w14:paraId="4074C8E9">
      <w:pPr>
        <w:pStyle w:val="4"/>
        <w:adjustRightInd w:val="0"/>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（2）主要零部件材料</w:t>
      </w:r>
    </w:p>
    <w:tbl>
      <w:tblPr>
        <w:tblStyle w:val="12"/>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42"/>
        <w:gridCol w:w="4380"/>
      </w:tblGrid>
      <w:tr w14:paraId="3AF44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42" w:type="dxa"/>
          </w:tcPr>
          <w:p w14:paraId="19FFA1B3">
            <w:pPr>
              <w:adjustRightInd w:val="0"/>
              <w:snapToGrid w:val="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名 称</w:t>
            </w:r>
          </w:p>
        </w:tc>
        <w:tc>
          <w:tcPr>
            <w:tcW w:w="4380" w:type="dxa"/>
          </w:tcPr>
          <w:p w14:paraId="6D6BF1B3">
            <w:pPr>
              <w:adjustRightInd w:val="0"/>
              <w:snapToGrid w:val="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材 质</w:t>
            </w:r>
          </w:p>
        </w:tc>
      </w:tr>
      <w:tr w14:paraId="715A3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42" w:type="dxa"/>
            <w:vAlign w:val="center"/>
          </w:tcPr>
          <w:p w14:paraId="7F91D6FD">
            <w:pPr>
              <w:adjustRightInd w:val="0"/>
              <w:snapToGrid w:val="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阀体</w:t>
            </w:r>
          </w:p>
        </w:tc>
        <w:tc>
          <w:tcPr>
            <w:tcW w:w="4380" w:type="dxa"/>
            <w:vAlign w:val="center"/>
          </w:tcPr>
          <w:p w14:paraId="3ABB0DE5">
            <w:pPr>
              <w:adjustRightInd w:val="0"/>
              <w:snapToGrid w:val="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球墨铸铁QT450-10</w:t>
            </w:r>
          </w:p>
        </w:tc>
      </w:tr>
      <w:tr w14:paraId="2643FA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42" w:type="dxa"/>
            <w:vAlign w:val="center"/>
          </w:tcPr>
          <w:p w14:paraId="031AD534">
            <w:pPr>
              <w:adjustRightInd w:val="0"/>
              <w:snapToGrid w:val="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阀瓣</w:t>
            </w:r>
          </w:p>
        </w:tc>
        <w:tc>
          <w:tcPr>
            <w:tcW w:w="4380" w:type="dxa"/>
            <w:vAlign w:val="center"/>
          </w:tcPr>
          <w:p w14:paraId="11225E84">
            <w:pPr>
              <w:adjustRightInd w:val="0"/>
              <w:snapToGrid w:val="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球墨铸铁QT450-10</w:t>
            </w:r>
          </w:p>
        </w:tc>
      </w:tr>
      <w:tr w14:paraId="3D7B7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42" w:type="dxa"/>
            <w:vAlign w:val="center"/>
          </w:tcPr>
          <w:p w14:paraId="65CD8892">
            <w:pPr>
              <w:adjustRightInd w:val="0"/>
              <w:snapToGrid w:val="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阀轴</w:t>
            </w:r>
          </w:p>
        </w:tc>
        <w:tc>
          <w:tcPr>
            <w:tcW w:w="4380" w:type="dxa"/>
            <w:vAlign w:val="center"/>
          </w:tcPr>
          <w:p w14:paraId="5E71B77B">
            <w:pPr>
              <w:adjustRightInd w:val="0"/>
              <w:snapToGrid w:val="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不锈钢 20Cr13</w:t>
            </w:r>
          </w:p>
        </w:tc>
      </w:tr>
      <w:tr w14:paraId="431F6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42" w:type="dxa"/>
            <w:vAlign w:val="center"/>
          </w:tcPr>
          <w:p w14:paraId="11484A38">
            <w:pPr>
              <w:adjustRightInd w:val="0"/>
              <w:snapToGrid w:val="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密封圈</w:t>
            </w:r>
          </w:p>
        </w:tc>
        <w:tc>
          <w:tcPr>
            <w:tcW w:w="4380" w:type="dxa"/>
            <w:vAlign w:val="center"/>
          </w:tcPr>
          <w:p w14:paraId="2DE0AA0A">
            <w:pPr>
              <w:adjustRightInd w:val="0"/>
              <w:snapToGrid w:val="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橡胶EPDM</w:t>
            </w:r>
          </w:p>
        </w:tc>
      </w:tr>
    </w:tbl>
    <w:p w14:paraId="61C0245D">
      <w:pPr>
        <w:snapToGrid w:val="0"/>
        <w:spacing w:before="156" w:beforeLines="50" w:line="360" w:lineRule="auto"/>
        <w:ind w:firstLine="240" w:firstLineChars="1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③、旋启式止回阀</w:t>
      </w:r>
    </w:p>
    <w:p w14:paraId="21A2592C">
      <w:pPr>
        <w:pStyle w:val="4"/>
        <w:adjustRightInd w:val="0"/>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（1）结构及性能</w:t>
      </w:r>
    </w:p>
    <w:p w14:paraId="087E751E">
      <w:pPr>
        <w:pStyle w:val="4"/>
        <w:adjustRightInd w:val="0"/>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止回阀结构设计应满足工作可靠、水头损失小、防止水泵倒流、密封性能好、减小停泵水锤和水击噪声的要求。</w:t>
      </w:r>
    </w:p>
    <w:p w14:paraId="7AAA1F9A">
      <w:pPr>
        <w:pStyle w:val="4"/>
        <w:adjustRightInd w:val="0"/>
        <w:snapToGrid w:val="0"/>
        <w:spacing w:line="360" w:lineRule="auto"/>
        <w:ind w:left="420" w:leftChars="200" w:firstLine="0" w:firstLineChars="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旋启式止回阀口径小于DN500，选用单瓣卧式，法兰应与阀体整体铸造。</w:t>
      </w:r>
    </w:p>
    <w:p w14:paraId="1B26C301">
      <w:pPr>
        <w:pStyle w:val="4"/>
        <w:adjustRightInd w:val="0"/>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单瓣式阀座内径与阀体的通径相等，阀体过流面积应不小于公称尺寸的截面积。阀体上应设有限值阀瓣开启的机构，以便水逆流时易于关闭。</w:t>
      </w:r>
    </w:p>
    <w:p w14:paraId="4CED2C69">
      <w:pPr>
        <w:pStyle w:val="4"/>
        <w:adjustRightInd w:val="0"/>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阀座与阀体、阀瓣密封圈与阀瓣的结合应牢固，在使用中不松动、不脱落，结合处不泄露。</w:t>
      </w:r>
    </w:p>
    <w:p w14:paraId="0BE0AE79">
      <w:pPr>
        <w:pStyle w:val="4"/>
        <w:adjustRightInd w:val="0"/>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摇杆与阀瓣及阀体的连接应转动灵活，并保证摇杆与阀体连接处密封可靠，在使用中不脱落。</w:t>
      </w:r>
    </w:p>
    <w:p w14:paraId="5C5FBDB1">
      <w:pPr>
        <w:pStyle w:val="4"/>
        <w:adjustRightInd w:val="0"/>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阀体内外表面，应先除去油锈、水份、污物等杂质， 再经喷砂或其他方式处理后，以烤漆工艺喷涂环保型无毒环氧树脂漆两道。其总厚度应达0.125mm以上。所有涂料干后应不溶解于水， 不影响水质，且不因空气、温度变化而发生变异。</w:t>
      </w:r>
    </w:p>
    <w:p w14:paraId="6E4A31BC">
      <w:pPr>
        <w:pStyle w:val="4"/>
        <w:adjustRightInd w:val="0"/>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阀体上应有清晰的箭头，以指示介质流经止回阀的流向。</w:t>
      </w:r>
    </w:p>
    <w:p w14:paraId="55602A71">
      <w:pPr>
        <w:pStyle w:val="4"/>
        <w:adjustRightInd w:val="0"/>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（2）主要零部件材料</w:t>
      </w:r>
    </w:p>
    <w:tbl>
      <w:tblPr>
        <w:tblStyle w:val="12"/>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57"/>
        <w:gridCol w:w="4965"/>
      </w:tblGrid>
      <w:tr w14:paraId="6BF576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57" w:type="dxa"/>
          </w:tcPr>
          <w:p w14:paraId="638543D6">
            <w:pPr>
              <w:adjustRightInd w:val="0"/>
              <w:snapToGrid w:val="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名 称</w:t>
            </w:r>
          </w:p>
        </w:tc>
        <w:tc>
          <w:tcPr>
            <w:tcW w:w="4965" w:type="dxa"/>
          </w:tcPr>
          <w:p w14:paraId="768E37D5">
            <w:pPr>
              <w:adjustRightInd w:val="0"/>
              <w:snapToGrid w:val="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材 质</w:t>
            </w:r>
          </w:p>
        </w:tc>
      </w:tr>
      <w:tr w14:paraId="42C596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57" w:type="dxa"/>
            <w:vAlign w:val="center"/>
          </w:tcPr>
          <w:p w14:paraId="644D57E7">
            <w:pPr>
              <w:adjustRightInd w:val="0"/>
              <w:snapToGrid w:val="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阀体、阀盖</w:t>
            </w:r>
          </w:p>
        </w:tc>
        <w:tc>
          <w:tcPr>
            <w:tcW w:w="4965" w:type="dxa"/>
            <w:vAlign w:val="center"/>
          </w:tcPr>
          <w:p w14:paraId="0EE893F1">
            <w:pPr>
              <w:adjustRightInd w:val="0"/>
              <w:snapToGrid w:val="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球墨铸铁QT450-10</w:t>
            </w:r>
          </w:p>
        </w:tc>
      </w:tr>
      <w:tr w14:paraId="21ECD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57" w:type="dxa"/>
            <w:vAlign w:val="center"/>
          </w:tcPr>
          <w:p w14:paraId="17A0F14E">
            <w:pPr>
              <w:adjustRightInd w:val="0"/>
              <w:snapToGrid w:val="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阀座、阀瓣</w:t>
            </w:r>
          </w:p>
        </w:tc>
        <w:tc>
          <w:tcPr>
            <w:tcW w:w="4965" w:type="dxa"/>
            <w:vAlign w:val="center"/>
          </w:tcPr>
          <w:p w14:paraId="39A71F02">
            <w:pPr>
              <w:adjustRightInd w:val="0"/>
              <w:snapToGrid w:val="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铸铝青铜</w:t>
            </w:r>
          </w:p>
        </w:tc>
      </w:tr>
      <w:tr w14:paraId="66171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57" w:type="dxa"/>
            <w:vAlign w:val="center"/>
          </w:tcPr>
          <w:p w14:paraId="76BDA7CB">
            <w:pPr>
              <w:adjustRightInd w:val="0"/>
              <w:snapToGrid w:val="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摇杆、摇杆</w:t>
            </w:r>
          </w:p>
        </w:tc>
        <w:tc>
          <w:tcPr>
            <w:tcW w:w="4965" w:type="dxa"/>
            <w:vAlign w:val="center"/>
          </w:tcPr>
          <w:p w14:paraId="0836AB18">
            <w:pPr>
              <w:adjustRightInd w:val="0"/>
              <w:snapToGrid w:val="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碳素铸钢WCB</w:t>
            </w:r>
          </w:p>
        </w:tc>
      </w:tr>
    </w:tbl>
    <w:p w14:paraId="5151A40D">
      <w:pPr>
        <w:keepNext/>
        <w:keepLines/>
        <w:numPr>
          <w:ilvl w:val="3"/>
          <w:numId w:val="0"/>
        </w:numPr>
        <w:tabs>
          <w:tab w:val="left" w:pos="0"/>
        </w:tabs>
        <w:snapToGrid w:val="0"/>
        <w:spacing w:line="360" w:lineRule="auto"/>
        <w:ind w:left="850" w:hanging="850"/>
        <w:outlineLvl w:val="3"/>
        <w:rPr>
          <w:rFonts w:hint="eastAsia" w:asciiTheme="majorEastAsia" w:hAnsiTheme="majorEastAsia" w:eastAsiaTheme="majorEastAsia" w:cstheme="majorEastAsia"/>
          <w:bCs/>
          <w:sz w:val="24"/>
          <w:szCs w:val="24"/>
        </w:rPr>
      </w:pPr>
      <w:r>
        <w:rPr>
          <w:rFonts w:hint="eastAsia" w:asciiTheme="majorEastAsia" w:hAnsiTheme="majorEastAsia" w:eastAsiaTheme="majorEastAsia" w:cstheme="majorEastAsia"/>
          <w:bCs/>
          <w:sz w:val="24"/>
          <w:szCs w:val="24"/>
          <w:lang w:val="en-US" w:eastAsia="zh-CN"/>
        </w:rPr>
        <w:t>5、</w:t>
      </w:r>
      <w:r>
        <w:rPr>
          <w:rFonts w:hint="eastAsia" w:asciiTheme="majorEastAsia" w:hAnsiTheme="majorEastAsia" w:eastAsiaTheme="majorEastAsia" w:cstheme="majorEastAsia"/>
          <w:bCs/>
          <w:sz w:val="24"/>
          <w:szCs w:val="24"/>
        </w:rPr>
        <w:t>管路补偿接头</w:t>
      </w:r>
    </w:p>
    <w:p w14:paraId="65BB3EF5">
      <w:pPr>
        <w:pStyle w:val="4"/>
        <w:snapToGrid w:val="0"/>
        <w:spacing w:line="360" w:lineRule="auto"/>
        <w:ind w:firstLine="240" w:firstLineChars="1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①、结构及性能</w:t>
      </w:r>
    </w:p>
    <w:p w14:paraId="1B0C5C93">
      <w:pPr>
        <w:pStyle w:val="4"/>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管路补偿接头用于设备与阀门或阀门与介质管道的安装连接，以及长距离管道的连接。除吸收补偿一定范围内的安装误差和构筑物不均匀沉降外，还承受管道工作压力或水锤压力等引起的轴向力，便于设备安装、拆卸和维修，同时保护管路系统的安全。</w:t>
      </w:r>
    </w:p>
    <w:p w14:paraId="3ED18D89">
      <w:pPr>
        <w:pStyle w:val="4"/>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工作条件：环境温度 -25℃~+85℃；输送介质温1~30℃，输送污水、清水、排泥水，正常pH值。</w:t>
      </w:r>
    </w:p>
    <w:p w14:paraId="510732DD">
      <w:pPr>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管路补偿接头由本体、压盖、密封圈、法兰短管、螺柱连接件等组成。</w:t>
      </w:r>
    </w:p>
    <w:p w14:paraId="0C041B41">
      <w:pPr>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（1）法兰松套限位补偿接头</w:t>
      </w:r>
    </w:p>
    <w:p w14:paraId="0F7790B0">
      <w:pPr>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法兰松套限位补偿接头应能在允许范围内吸收轴向位移和承受压力推力，防止管道因超量位移导致泄漏事故。</w:t>
      </w:r>
    </w:p>
    <w:p w14:paraId="6963B48D">
      <w:pPr>
        <w:pStyle w:val="4"/>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val="en-US" w:eastAsia="zh-CN"/>
        </w:rPr>
        <w:t>a、</w:t>
      </w:r>
      <w:r>
        <w:rPr>
          <w:rFonts w:hint="eastAsia" w:asciiTheme="majorEastAsia" w:hAnsiTheme="majorEastAsia" w:eastAsiaTheme="majorEastAsia" w:cstheme="majorEastAsia"/>
          <w:sz w:val="24"/>
          <w:szCs w:val="24"/>
        </w:rPr>
        <w:t>接头可挠量：≮3°</w:t>
      </w:r>
    </w:p>
    <w:p w14:paraId="5E53A220">
      <w:pPr>
        <w:pStyle w:val="4"/>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val="en-US" w:eastAsia="zh-CN"/>
        </w:rPr>
        <w:t>b、</w:t>
      </w:r>
      <w:r>
        <w:rPr>
          <w:rFonts w:hint="eastAsia" w:asciiTheme="majorEastAsia" w:hAnsiTheme="majorEastAsia" w:eastAsiaTheme="majorEastAsia" w:cstheme="majorEastAsia"/>
          <w:sz w:val="24"/>
          <w:szCs w:val="24"/>
        </w:rPr>
        <w:t>接头可偏心量：≮5mm</w:t>
      </w:r>
    </w:p>
    <w:p w14:paraId="6F49F8EC">
      <w:pPr>
        <w:pStyle w:val="4"/>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val="en-US" w:eastAsia="zh-CN"/>
        </w:rPr>
        <w:t>c、</w:t>
      </w:r>
      <w:r>
        <w:rPr>
          <w:rFonts w:hint="eastAsia" w:asciiTheme="majorEastAsia" w:hAnsiTheme="majorEastAsia" w:eastAsiaTheme="majorEastAsia" w:cstheme="majorEastAsia"/>
          <w:sz w:val="24"/>
          <w:szCs w:val="24"/>
        </w:rPr>
        <w:t>伸缩量：≮50mm</w:t>
      </w:r>
    </w:p>
    <w:p w14:paraId="1C001459">
      <w:pPr>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（2）法兰松套传力补偿接头</w:t>
      </w:r>
    </w:p>
    <w:p w14:paraId="6B947D66">
      <w:pPr>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法兰松套传力补偿接头应能传递轴向推力至整段管道，能通过紧固件的调整满足一定的位移量，既便于设备的安装拆卸，又在一定程度上对阀门等设备起到保护作用。</w:t>
      </w:r>
    </w:p>
    <w:p w14:paraId="6F1D8F71">
      <w:pPr>
        <w:pStyle w:val="4"/>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val="en-US" w:eastAsia="zh-CN"/>
        </w:rPr>
        <w:t>a、</w:t>
      </w:r>
      <w:r>
        <w:rPr>
          <w:rFonts w:hint="eastAsia" w:asciiTheme="majorEastAsia" w:hAnsiTheme="majorEastAsia" w:eastAsiaTheme="majorEastAsia" w:cstheme="majorEastAsia"/>
          <w:sz w:val="24"/>
          <w:szCs w:val="24"/>
        </w:rPr>
        <w:t>接头可挠量：≮3°</w:t>
      </w:r>
    </w:p>
    <w:p w14:paraId="2375C1D5">
      <w:pPr>
        <w:pStyle w:val="4"/>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val="en-US" w:eastAsia="zh-CN"/>
        </w:rPr>
        <w:t>b、</w:t>
      </w:r>
      <w:r>
        <w:rPr>
          <w:rFonts w:hint="eastAsia" w:asciiTheme="majorEastAsia" w:hAnsiTheme="majorEastAsia" w:eastAsiaTheme="majorEastAsia" w:cstheme="majorEastAsia"/>
          <w:sz w:val="24"/>
          <w:szCs w:val="24"/>
        </w:rPr>
        <w:t>接头可偏心量：≮5mm</w:t>
      </w:r>
    </w:p>
    <w:p w14:paraId="2CB65043">
      <w:pPr>
        <w:pStyle w:val="4"/>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val="en-US" w:eastAsia="zh-CN"/>
        </w:rPr>
        <w:t>c、</w:t>
      </w:r>
      <w:r>
        <w:rPr>
          <w:rFonts w:hint="eastAsia" w:asciiTheme="majorEastAsia" w:hAnsiTheme="majorEastAsia" w:eastAsiaTheme="majorEastAsia" w:cstheme="majorEastAsia"/>
          <w:sz w:val="24"/>
          <w:szCs w:val="24"/>
        </w:rPr>
        <w:t>伸缩量：≮50mm</w:t>
      </w:r>
    </w:p>
    <w:p w14:paraId="50B7A8B6">
      <w:pPr>
        <w:snapToGrid w:val="0"/>
        <w:spacing w:line="360" w:lineRule="auto"/>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（3）球形补偿接头</w:t>
      </w:r>
    </w:p>
    <w:p w14:paraId="5CF3159E">
      <w:pPr>
        <w:snapToGrid w:val="0"/>
        <w:spacing w:line="360" w:lineRule="auto"/>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球形补偿接头应能适用于地面沉降大、有震动、地形复杂特别是不同地基之间的管道联接。安装在管道上后，球体应可在一定角度范围内自由转动，来补偿管道因地基沉降、热胀冷缩引起的挠曲，并承受轴向力。</w:t>
      </w:r>
    </w:p>
    <w:p w14:paraId="43186012">
      <w:pPr>
        <w:snapToGrid w:val="0"/>
        <w:spacing w:line="360" w:lineRule="auto"/>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球形接头可挠度应≥15°。</w:t>
      </w:r>
    </w:p>
    <w:p w14:paraId="30C5B525">
      <w:pPr>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管路补偿接头应密封可靠，在正常工况下运行，不得出现任何泄漏现象。</w:t>
      </w:r>
    </w:p>
    <w:p w14:paraId="54842308">
      <w:pPr>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焊接零件用的焊条应与被焊件的材料相适应，焊缝应平整，不得有夹渣、积流等缺陷。</w:t>
      </w:r>
    </w:p>
    <w:p w14:paraId="00AA3625">
      <w:pPr>
        <w:pStyle w:val="4"/>
        <w:snapToGrid w:val="0"/>
        <w:spacing w:line="360" w:lineRule="auto"/>
        <w:ind w:firstLine="240" w:firstLineChars="1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②、主要零部件材料</w:t>
      </w:r>
    </w:p>
    <w:tbl>
      <w:tblPr>
        <w:tblStyle w:val="12"/>
        <w:tblW w:w="852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
      <w:tblGrid>
        <w:gridCol w:w="4140"/>
        <w:gridCol w:w="4380"/>
      </w:tblGrid>
      <w:tr w14:paraId="3B9A15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jc w:val="center"/>
        </w:trPr>
        <w:tc>
          <w:tcPr>
            <w:tcW w:w="4140" w:type="dxa"/>
            <w:tcBorders>
              <w:tl2br w:val="nil"/>
              <w:tr2bl w:val="nil"/>
            </w:tcBorders>
            <w:vAlign w:val="center"/>
          </w:tcPr>
          <w:p w14:paraId="23E38618">
            <w:pPr>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本体</w:t>
            </w:r>
          </w:p>
        </w:tc>
        <w:tc>
          <w:tcPr>
            <w:tcW w:w="4380" w:type="dxa"/>
            <w:tcBorders>
              <w:tl2br w:val="nil"/>
              <w:tr2bl w:val="nil"/>
            </w:tcBorders>
            <w:vAlign w:val="center"/>
          </w:tcPr>
          <w:p w14:paraId="5CD45930">
            <w:pPr>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bCs/>
                <w:sz w:val="24"/>
                <w:szCs w:val="24"/>
              </w:rPr>
              <w:t>球墨铸铁QT450-10</w:t>
            </w:r>
          </w:p>
        </w:tc>
      </w:tr>
      <w:tr w14:paraId="75DBA1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jc w:val="center"/>
        </w:trPr>
        <w:tc>
          <w:tcPr>
            <w:tcW w:w="4140" w:type="dxa"/>
            <w:tcBorders>
              <w:tl2br w:val="nil"/>
              <w:tr2bl w:val="nil"/>
            </w:tcBorders>
            <w:vAlign w:val="center"/>
          </w:tcPr>
          <w:p w14:paraId="39552F43">
            <w:pPr>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压盖</w:t>
            </w:r>
          </w:p>
        </w:tc>
        <w:tc>
          <w:tcPr>
            <w:tcW w:w="4380" w:type="dxa"/>
            <w:tcBorders>
              <w:tl2br w:val="nil"/>
              <w:tr2bl w:val="nil"/>
            </w:tcBorders>
            <w:vAlign w:val="center"/>
          </w:tcPr>
          <w:p w14:paraId="1A244D11">
            <w:pPr>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bCs/>
                <w:sz w:val="24"/>
                <w:szCs w:val="24"/>
              </w:rPr>
              <w:t>球墨铸铁QT450-10</w:t>
            </w:r>
          </w:p>
        </w:tc>
      </w:tr>
      <w:tr w14:paraId="238123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jc w:val="center"/>
        </w:trPr>
        <w:tc>
          <w:tcPr>
            <w:tcW w:w="4140" w:type="dxa"/>
            <w:tcBorders>
              <w:tl2br w:val="nil"/>
              <w:tr2bl w:val="nil"/>
            </w:tcBorders>
            <w:vAlign w:val="center"/>
          </w:tcPr>
          <w:p w14:paraId="14263002">
            <w:pPr>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法兰短管</w:t>
            </w:r>
          </w:p>
        </w:tc>
        <w:tc>
          <w:tcPr>
            <w:tcW w:w="4380" w:type="dxa"/>
            <w:tcBorders>
              <w:tl2br w:val="nil"/>
              <w:tr2bl w:val="nil"/>
            </w:tcBorders>
            <w:vAlign w:val="center"/>
          </w:tcPr>
          <w:p w14:paraId="3B89974D">
            <w:pPr>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碳钢Q235B</w:t>
            </w:r>
          </w:p>
        </w:tc>
      </w:tr>
      <w:tr w14:paraId="7EFB8D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jc w:val="center"/>
        </w:trPr>
        <w:tc>
          <w:tcPr>
            <w:tcW w:w="4140" w:type="dxa"/>
            <w:tcBorders>
              <w:tl2br w:val="nil"/>
              <w:tr2bl w:val="nil"/>
            </w:tcBorders>
            <w:vAlign w:val="center"/>
          </w:tcPr>
          <w:p w14:paraId="11D87226">
            <w:pPr>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密封圈</w:t>
            </w:r>
          </w:p>
        </w:tc>
        <w:tc>
          <w:tcPr>
            <w:tcW w:w="4380" w:type="dxa"/>
            <w:tcBorders>
              <w:tl2br w:val="nil"/>
              <w:tr2bl w:val="nil"/>
            </w:tcBorders>
            <w:vAlign w:val="center"/>
          </w:tcPr>
          <w:p w14:paraId="2C6DA357">
            <w:pPr>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丁腈橡胶/EPDM</w:t>
            </w:r>
          </w:p>
        </w:tc>
      </w:tr>
      <w:tr w14:paraId="001553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jc w:val="center"/>
        </w:trPr>
        <w:tc>
          <w:tcPr>
            <w:tcW w:w="4140" w:type="dxa"/>
            <w:tcBorders>
              <w:tl2br w:val="nil"/>
              <w:tr2bl w:val="nil"/>
            </w:tcBorders>
            <w:vAlign w:val="center"/>
          </w:tcPr>
          <w:p w14:paraId="6CEEE6F5">
            <w:pPr>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螺柱、螺母</w:t>
            </w:r>
          </w:p>
        </w:tc>
        <w:tc>
          <w:tcPr>
            <w:tcW w:w="4380" w:type="dxa"/>
            <w:tcBorders>
              <w:tl2br w:val="nil"/>
              <w:tr2bl w:val="nil"/>
            </w:tcBorders>
            <w:vAlign w:val="center"/>
          </w:tcPr>
          <w:p w14:paraId="784C1162">
            <w:pPr>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不锈钢SS304</w:t>
            </w:r>
          </w:p>
        </w:tc>
      </w:tr>
    </w:tbl>
    <w:p w14:paraId="62DFE4BF">
      <w:pPr>
        <w:keepNext/>
        <w:keepLines/>
        <w:numPr>
          <w:ilvl w:val="3"/>
          <w:numId w:val="0"/>
        </w:numPr>
        <w:tabs>
          <w:tab w:val="left" w:pos="0"/>
        </w:tabs>
        <w:snapToGrid w:val="0"/>
        <w:spacing w:line="360" w:lineRule="auto"/>
        <w:ind w:left="850" w:hanging="850"/>
        <w:outlineLvl w:val="3"/>
        <w:rPr>
          <w:rFonts w:hint="eastAsia" w:asciiTheme="majorEastAsia" w:hAnsiTheme="majorEastAsia" w:eastAsiaTheme="majorEastAsia" w:cstheme="majorEastAsia"/>
          <w:bCs/>
          <w:sz w:val="24"/>
          <w:szCs w:val="24"/>
        </w:rPr>
      </w:pPr>
      <w:r>
        <w:rPr>
          <w:rFonts w:hint="eastAsia" w:asciiTheme="majorEastAsia" w:hAnsiTheme="majorEastAsia" w:eastAsiaTheme="majorEastAsia" w:cstheme="majorEastAsia"/>
          <w:bCs/>
          <w:sz w:val="24"/>
          <w:szCs w:val="24"/>
          <w:lang w:val="en-US" w:eastAsia="zh-CN"/>
        </w:rPr>
        <w:t>6、</w:t>
      </w:r>
      <w:r>
        <w:rPr>
          <w:rFonts w:hint="eastAsia" w:asciiTheme="majorEastAsia" w:hAnsiTheme="majorEastAsia" w:eastAsiaTheme="majorEastAsia" w:cstheme="majorEastAsia"/>
          <w:bCs/>
          <w:sz w:val="24"/>
          <w:szCs w:val="24"/>
        </w:rPr>
        <w:t>铸铁镶铜提板闸</w:t>
      </w:r>
    </w:p>
    <w:p w14:paraId="50B49033">
      <w:pPr>
        <w:pStyle w:val="4"/>
        <w:snapToGrid w:val="0"/>
        <w:spacing w:line="360" w:lineRule="auto"/>
        <w:ind w:firstLine="240" w:firstLineChars="1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①、结构及性能</w:t>
      </w:r>
    </w:p>
    <w:p w14:paraId="3F4554E2">
      <w:pPr>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设备包括闸门、起闭装置和轴导架及所有固定件。</w:t>
      </w:r>
    </w:p>
    <w:p w14:paraId="19DFB39A">
      <w:pPr>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铸铁镶铜闸门为明杆式结构形式，闸门主要由闸框、闸板、导轨、楔座、密封装置等组成。闸板、闸框、导轨及螺杆应有足够的强度和刚度，其拉伸、压缩和剪切强度的安全系数不得小于5，挠度不大于构件长度的1/1500。</w:t>
      </w:r>
    </w:p>
    <w:p w14:paraId="0A5CC38C">
      <w:pPr>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螺杆的柔度不得大于200，必要时设置可调的导向支架，导向支架应带有刚性不能松动的衬套，其内径与螺杆外径的间隙不得大于3mm。螺杆在提升螺母的上下应各设一个可调的限位装置，防止闸板超行程动作。</w:t>
      </w:r>
    </w:p>
    <w:p w14:paraId="670D2319">
      <w:pPr>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导轨及螺杆应有足够的长度，保证当闸门全开时，导轨的顶端仍高于闸板水平中心线，并且闸门过水断面为全通道，不得有闸板滞留其中。外露丝杠需加保护套。</w:t>
      </w:r>
    </w:p>
    <w:p w14:paraId="6D9AA51D">
      <w:pPr>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闸板与闸框的密封面应采用铜合金制造，密封面应精确地加工，在启闭闸板过程中，不能变形和松动。闸门应设置可以调节的楔紧装置和强制密封装置，保证闸门关闭时，闸板与闸框的密封面紧密接触，其间隙不得大于0.1mm。</w:t>
      </w:r>
    </w:p>
    <w:p w14:paraId="0C9F1254">
      <w:pPr>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闸门在最大正向工作水压下，密封泄漏量不得大于1.25L/min.m(密封面长度)。双向密封的闸门反向密封泄漏量不得大于2.5L/min.m(密封面长度)。</w:t>
      </w:r>
    </w:p>
    <w:p w14:paraId="5E41BC34">
      <w:pPr>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可调楔块应采用铜合金制造，楔块的接触面积应不小于总面积的2/3。</w:t>
      </w:r>
    </w:p>
    <w:p w14:paraId="31C17761">
      <w:pPr>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闸门体提升或关闭用的螺杆应采用高强度不锈钢材料制造，螺母为铸造锡青铜，螺杆在最大启门力或关闭力作用下，其安全系数不小于2。</w:t>
      </w:r>
    </w:p>
    <w:p w14:paraId="4BA3D546">
      <w:pPr>
        <w:snapToGrid w:val="0"/>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所有闸门应有“开启”/“关闭”指示。</w:t>
      </w:r>
    </w:p>
    <w:p w14:paraId="09DF662E">
      <w:pPr>
        <w:pStyle w:val="4"/>
        <w:snapToGrid w:val="0"/>
        <w:spacing w:line="360" w:lineRule="auto"/>
        <w:ind w:firstLine="240" w:firstLineChars="1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②、主要零部件材料</w:t>
      </w:r>
    </w:p>
    <w:tbl>
      <w:tblPr>
        <w:tblStyle w:val="12"/>
        <w:tblW w:w="7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30"/>
        <w:gridCol w:w="3937"/>
      </w:tblGrid>
      <w:tr w14:paraId="4938DC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630" w:type="dxa"/>
            <w:vAlign w:val="center"/>
          </w:tcPr>
          <w:p w14:paraId="0FB19311">
            <w:pPr>
              <w:adjustRightInd w:val="0"/>
              <w:snapToGrid w:val="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名 称</w:t>
            </w:r>
          </w:p>
        </w:tc>
        <w:tc>
          <w:tcPr>
            <w:tcW w:w="3937" w:type="dxa"/>
            <w:vAlign w:val="center"/>
          </w:tcPr>
          <w:p w14:paraId="1923C799">
            <w:pPr>
              <w:adjustRightInd w:val="0"/>
              <w:snapToGrid w:val="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材 质</w:t>
            </w:r>
          </w:p>
        </w:tc>
      </w:tr>
      <w:tr w14:paraId="631C14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630" w:type="dxa"/>
            <w:vAlign w:val="center"/>
          </w:tcPr>
          <w:p w14:paraId="26E56CA6">
            <w:pPr>
              <w:pStyle w:val="4"/>
              <w:ind w:firstLine="0" w:firstLineChars="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闸板</w:t>
            </w:r>
          </w:p>
        </w:tc>
        <w:tc>
          <w:tcPr>
            <w:tcW w:w="3937" w:type="dxa"/>
            <w:vAlign w:val="center"/>
          </w:tcPr>
          <w:p w14:paraId="41B1D305">
            <w:pPr>
              <w:pStyle w:val="4"/>
              <w:ind w:firstLine="0" w:firstLineChars="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铸铁 HT200</w:t>
            </w:r>
          </w:p>
        </w:tc>
      </w:tr>
      <w:tr w14:paraId="199D6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630" w:type="dxa"/>
            <w:vAlign w:val="center"/>
          </w:tcPr>
          <w:p w14:paraId="128B41BE">
            <w:pPr>
              <w:pStyle w:val="4"/>
              <w:ind w:firstLine="0" w:firstLineChars="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闸框</w:t>
            </w:r>
          </w:p>
        </w:tc>
        <w:tc>
          <w:tcPr>
            <w:tcW w:w="3937" w:type="dxa"/>
            <w:vAlign w:val="center"/>
          </w:tcPr>
          <w:p w14:paraId="4FF49B75">
            <w:pPr>
              <w:pStyle w:val="4"/>
              <w:ind w:firstLine="0" w:firstLineChars="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铸铁 HT200</w:t>
            </w:r>
          </w:p>
        </w:tc>
      </w:tr>
      <w:tr w14:paraId="2FA92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630" w:type="dxa"/>
            <w:vAlign w:val="center"/>
          </w:tcPr>
          <w:p w14:paraId="36C4BC38">
            <w:pPr>
              <w:pStyle w:val="4"/>
              <w:ind w:firstLine="0" w:firstLineChars="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螺杆</w:t>
            </w:r>
          </w:p>
        </w:tc>
        <w:tc>
          <w:tcPr>
            <w:tcW w:w="3937" w:type="dxa"/>
            <w:vAlign w:val="center"/>
          </w:tcPr>
          <w:p w14:paraId="2572AB07">
            <w:pPr>
              <w:pStyle w:val="4"/>
              <w:ind w:firstLine="0" w:firstLineChars="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不锈钢 420</w:t>
            </w:r>
          </w:p>
        </w:tc>
      </w:tr>
      <w:tr w14:paraId="1EAD5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630" w:type="dxa"/>
            <w:vAlign w:val="center"/>
          </w:tcPr>
          <w:p w14:paraId="63F94CBB">
            <w:pPr>
              <w:pStyle w:val="4"/>
              <w:ind w:firstLine="0" w:firstLineChars="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提升螺母</w:t>
            </w:r>
          </w:p>
        </w:tc>
        <w:tc>
          <w:tcPr>
            <w:tcW w:w="3937" w:type="dxa"/>
            <w:vAlign w:val="center"/>
          </w:tcPr>
          <w:p w14:paraId="187F3030">
            <w:pPr>
              <w:pStyle w:val="4"/>
              <w:ind w:firstLine="0" w:firstLineChars="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锡青铜 ZCuSn5Pb5Zn5</w:t>
            </w:r>
          </w:p>
        </w:tc>
      </w:tr>
      <w:tr w14:paraId="56F6B9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630" w:type="dxa"/>
            <w:vAlign w:val="center"/>
          </w:tcPr>
          <w:p w14:paraId="4BC220F6">
            <w:pPr>
              <w:pStyle w:val="4"/>
              <w:ind w:firstLine="0" w:firstLineChars="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密封圈、楔块</w:t>
            </w:r>
          </w:p>
        </w:tc>
        <w:tc>
          <w:tcPr>
            <w:tcW w:w="3937" w:type="dxa"/>
            <w:vAlign w:val="center"/>
          </w:tcPr>
          <w:p w14:paraId="1491341A">
            <w:pPr>
              <w:pStyle w:val="4"/>
              <w:ind w:firstLine="0" w:firstLineChars="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锡青铜 ZCuSn5Pb5Zn5</w:t>
            </w:r>
          </w:p>
        </w:tc>
      </w:tr>
      <w:tr w14:paraId="2DBC4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630" w:type="dxa"/>
            <w:vAlign w:val="center"/>
          </w:tcPr>
          <w:p w14:paraId="73C3C528">
            <w:pPr>
              <w:pStyle w:val="4"/>
              <w:ind w:firstLine="0" w:firstLineChars="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导轨</w:t>
            </w:r>
          </w:p>
        </w:tc>
        <w:tc>
          <w:tcPr>
            <w:tcW w:w="3937" w:type="dxa"/>
            <w:vAlign w:val="center"/>
          </w:tcPr>
          <w:p w14:paraId="6350D623">
            <w:pPr>
              <w:pStyle w:val="4"/>
              <w:ind w:firstLine="0" w:firstLineChars="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铸铁镶铜 HT200；ZCuSn5Pb5Zn5</w:t>
            </w:r>
          </w:p>
        </w:tc>
      </w:tr>
      <w:tr w14:paraId="0AD9E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630" w:type="dxa"/>
            <w:vAlign w:val="center"/>
          </w:tcPr>
          <w:p w14:paraId="0F602068">
            <w:pPr>
              <w:pStyle w:val="4"/>
              <w:ind w:firstLine="0" w:firstLineChars="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所有连接附件/化学地脚螺栓</w:t>
            </w:r>
          </w:p>
        </w:tc>
        <w:tc>
          <w:tcPr>
            <w:tcW w:w="3937" w:type="dxa"/>
            <w:vAlign w:val="center"/>
          </w:tcPr>
          <w:p w14:paraId="02061928">
            <w:pPr>
              <w:pStyle w:val="4"/>
              <w:ind w:firstLine="0" w:firstLineChars="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不锈钢SS304</w:t>
            </w:r>
          </w:p>
        </w:tc>
      </w:tr>
    </w:tbl>
    <w:p w14:paraId="1AAA4140">
      <w:pPr>
        <w:pStyle w:val="4"/>
        <w:snapToGrid w:val="0"/>
        <w:spacing w:line="360" w:lineRule="auto"/>
        <w:ind w:firstLine="48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阀门的所有零件部件、密封件、防腐涂料均不得采用对自来水造成污染的材料，阀门材料的卫生条件必须符合GB17219《生活饮用水输配水设备及防护材料的安全性评价标准》要求，防护涂料要有地方级以上(包括地方级)卫生部门提供的防疫鉴定报告。</w:t>
      </w:r>
    </w:p>
    <w:p w14:paraId="3E36AF41">
      <w:pPr>
        <w:pStyle w:val="5"/>
        <w:rPr>
          <w:rFonts w:hint="eastAsia" w:asciiTheme="majorEastAsia" w:hAnsiTheme="majorEastAsia" w:eastAsiaTheme="majorEastAsia" w:cstheme="majorEastAsia"/>
          <w:sz w:val="24"/>
          <w:szCs w:val="24"/>
        </w:rPr>
      </w:pPr>
    </w:p>
    <w:p w14:paraId="34E9099F">
      <w:pPr>
        <w:pStyle w:val="6"/>
        <w:rPr>
          <w:rFonts w:hint="eastAsia" w:asciiTheme="majorEastAsia" w:hAnsiTheme="majorEastAsia" w:eastAsiaTheme="majorEastAsia" w:cstheme="majorEastAsia"/>
          <w:sz w:val="24"/>
          <w:szCs w:val="24"/>
        </w:rPr>
      </w:pPr>
    </w:p>
    <w:p w14:paraId="00006D3A">
      <w:pPr>
        <w:keepNext/>
        <w:keepLines/>
        <w:numPr>
          <w:ilvl w:val="0"/>
          <w:numId w:val="0"/>
        </w:numPr>
        <w:spacing w:before="120" w:after="120" w:line="360" w:lineRule="auto"/>
        <w:ind w:leftChars="0"/>
        <w:jc w:val="left"/>
        <w:outlineLvl w:val="2"/>
        <w:rPr>
          <w:rFonts w:hint="eastAsia" w:ascii="宋体" w:hAnsi="宋体"/>
          <w:b/>
          <w:sz w:val="36"/>
          <w:szCs w:val="36"/>
        </w:rPr>
      </w:pPr>
    </w:p>
    <w:p w14:paraId="43A3155B">
      <w:pPr>
        <w:keepNext/>
        <w:keepLines/>
        <w:numPr>
          <w:ilvl w:val="0"/>
          <w:numId w:val="0"/>
        </w:numPr>
        <w:spacing w:before="120" w:after="120" w:line="360" w:lineRule="auto"/>
        <w:ind w:leftChars="0"/>
        <w:jc w:val="left"/>
        <w:outlineLvl w:val="2"/>
        <w:rPr>
          <w:rFonts w:hint="eastAsia" w:ascii="宋体" w:hAnsi="宋体"/>
          <w:b/>
          <w:sz w:val="36"/>
          <w:szCs w:val="36"/>
        </w:rPr>
      </w:pPr>
    </w:p>
    <w:p w14:paraId="49E0C4B3">
      <w:pPr>
        <w:keepNext/>
        <w:keepLines/>
        <w:numPr>
          <w:ilvl w:val="0"/>
          <w:numId w:val="0"/>
        </w:numPr>
        <w:spacing w:before="120" w:after="120" w:line="360" w:lineRule="auto"/>
        <w:ind w:leftChars="0"/>
        <w:jc w:val="left"/>
        <w:outlineLvl w:val="2"/>
        <w:rPr>
          <w:rFonts w:hint="eastAsia" w:ascii="宋体" w:hAnsi="宋体"/>
          <w:b/>
          <w:sz w:val="36"/>
          <w:szCs w:val="36"/>
        </w:rPr>
      </w:pPr>
    </w:p>
    <w:p w14:paraId="49D550DD">
      <w:pPr>
        <w:keepNext/>
        <w:keepLines/>
        <w:numPr>
          <w:ilvl w:val="0"/>
          <w:numId w:val="0"/>
        </w:numPr>
        <w:spacing w:before="120" w:after="120" w:line="360" w:lineRule="auto"/>
        <w:ind w:leftChars="0"/>
        <w:jc w:val="left"/>
        <w:outlineLvl w:val="2"/>
        <w:rPr>
          <w:rFonts w:hint="eastAsia" w:ascii="宋体" w:hAnsi="宋体"/>
          <w:b/>
          <w:sz w:val="36"/>
          <w:szCs w:val="36"/>
        </w:rPr>
      </w:pPr>
    </w:p>
    <w:p w14:paraId="32BC8BCF">
      <w:pPr>
        <w:keepNext/>
        <w:keepLines/>
        <w:numPr>
          <w:ilvl w:val="0"/>
          <w:numId w:val="0"/>
        </w:numPr>
        <w:spacing w:before="120" w:after="120" w:line="360" w:lineRule="auto"/>
        <w:ind w:leftChars="0"/>
        <w:jc w:val="left"/>
        <w:outlineLvl w:val="2"/>
        <w:rPr>
          <w:rFonts w:hint="eastAsia" w:ascii="宋体" w:hAnsi="宋体"/>
          <w:b/>
          <w:sz w:val="36"/>
          <w:szCs w:val="36"/>
        </w:rPr>
      </w:pPr>
    </w:p>
    <w:p w14:paraId="34EF3684">
      <w:pPr>
        <w:keepNext/>
        <w:keepLines/>
        <w:numPr>
          <w:ilvl w:val="0"/>
          <w:numId w:val="0"/>
        </w:numPr>
        <w:spacing w:before="120" w:after="120" w:line="360" w:lineRule="auto"/>
        <w:ind w:leftChars="0"/>
        <w:jc w:val="left"/>
        <w:outlineLvl w:val="2"/>
        <w:rPr>
          <w:rFonts w:hint="eastAsia" w:ascii="宋体" w:hAnsi="宋体"/>
          <w:b/>
          <w:sz w:val="36"/>
          <w:szCs w:val="36"/>
        </w:rPr>
      </w:pPr>
    </w:p>
    <w:p w14:paraId="5D747ED4">
      <w:pPr>
        <w:keepNext/>
        <w:keepLines/>
        <w:numPr>
          <w:ilvl w:val="0"/>
          <w:numId w:val="0"/>
        </w:numPr>
        <w:spacing w:before="120" w:after="120" w:line="360" w:lineRule="auto"/>
        <w:ind w:leftChars="0"/>
        <w:jc w:val="left"/>
        <w:outlineLvl w:val="2"/>
        <w:rPr>
          <w:rFonts w:hint="eastAsia" w:ascii="宋体" w:hAnsi="宋体"/>
          <w:b/>
          <w:sz w:val="36"/>
          <w:szCs w:val="36"/>
        </w:rPr>
      </w:pPr>
    </w:p>
    <w:p w14:paraId="4720D918">
      <w:pPr>
        <w:keepNext/>
        <w:keepLines/>
        <w:numPr>
          <w:ilvl w:val="0"/>
          <w:numId w:val="0"/>
        </w:numPr>
        <w:spacing w:before="120" w:after="120" w:line="360" w:lineRule="auto"/>
        <w:ind w:leftChars="0"/>
        <w:jc w:val="left"/>
        <w:outlineLvl w:val="2"/>
        <w:rPr>
          <w:rFonts w:hint="eastAsia" w:ascii="宋体" w:hAnsi="宋体"/>
          <w:b/>
          <w:sz w:val="36"/>
          <w:szCs w:val="36"/>
        </w:rPr>
      </w:pPr>
    </w:p>
    <w:p w14:paraId="7BD714B6">
      <w:pPr>
        <w:keepNext/>
        <w:keepLines/>
        <w:numPr>
          <w:ilvl w:val="0"/>
          <w:numId w:val="0"/>
        </w:numPr>
        <w:spacing w:before="120" w:after="120" w:line="360" w:lineRule="auto"/>
        <w:ind w:leftChars="0"/>
        <w:jc w:val="left"/>
        <w:outlineLvl w:val="2"/>
        <w:rPr>
          <w:rFonts w:hint="eastAsia" w:ascii="宋体" w:hAnsi="宋体"/>
          <w:b/>
          <w:sz w:val="36"/>
          <w:szCs w:val="36"/>
        </w:rPr>
      </w:pPr>
    </w:p>
    <w:p w14:paraId="1DAD5D2E">
      <w:pPr>
        <w:keepNext/>
        <w:keepLines/>
        <w:numPr>
          <w:ilvl w:val="0"/>
          <w:numId w:val="0"/>
        </w:numPr>
        <w:spacing w:before="120" w:after="120" w:line="360" w:lineRule="auto"/>
        <w:ind w:leftChars="0"/>
        <w:jc w:val="left"/>
        <w:outlineLvl w:val="2"/>
        <w:rPr>
          <w:rFonts w:hint="eastAsia" w:ascii="宋体" w:hAnsi="宋体"/>
          <w:b/>
          <w:sz w:val="36"/>
          <w:szCs w:val="36"/>
        </w:rPr>
      </w:pPr>
    </w:p>
    <w:p w14:paraId="5457F2B0">
      <w:pPr>
        <w:keepNext/>
        <w:keepLines/>
        <w:numPr>
          <w:ilvl w:val="0"/>
          <w:numId w:val="0"/>
        </w:numPr>
        <w:spacing w:before="120" w:after="120" w:line="360" w:lineRule="auto"/>
        <w:ind w:leftChars="0"/>
        <w:jc w:val="left"/>
        <w:outlineLvl w:val="2"/>
        <w:rPr>
          <w:rFonts w:hint="eastAsia" w:ascii="宋体" w:hAnsi="宋体"/>
          <w:b/>
          <w:sz w:val="36"/>
          <w:szCs w:val="36"/>
        </w:rPr>
      </w:pPr>
    </w:p>
    <w:p w14:paraId="19210EDD">
      <w:pPr>
        <w:keepNext/>
        <w:keepLines/>
        <w:numPr>
          <w:ilvl w:val="0"/>
          <w:numId w:val="0"/>
        </w:numPr>
        <w:spacing w:before="120" w:after="120" w:line="360" w:lineRule="auto"/>
        <w:ind w:leftChars="0"/>
        <w:jc w:val="left"/>
        <w:outlineLvl w:val="2"/>
        <w:rPr>
          <w:rFonts w:hint="eastAsia" w:ascii="宋体" w:hAnsi="宋体"/>
          <w:b/>
          <w:sz w:val="36"/>
          <w:szCs w:val="36"/>
        </w:rPr>
      </w:pPr>
    </w:p>
    <w:p w14:paraId="72EF3D6E">
      <w:pPr>
        <w:keepNext/>
        <w:keepLines/>
        <w:numPr>
          <w:ilvl w:val="0"/>
          <w:numId w:val="0"/>
        </w:numPr>
        <w:spacing w:before="120" w:after="120" w:line="360" w:lineRule="auto"/>
        <w:ind w:leftChars="0"/>
        <w:jc w:val="left"/>
        <w:outlineLvl w:val="2"/>
        <w:rPr>
          <w:rFonts w:hint="eastAsia" w:ascii="宋体" w:hAnsi="宋体"/>
          <w:b/>
          <w:sz w:val="36"/>
          <w:szCs w:val="36"/>
        </w:rPr>
      </w:pPr>
    </w:p>
    <w:p w14:paraId="1F812D1F">
      <w:pPr>
        <w:keepNext/>
        <w:keepLines/>
        <w:numPr>
          <w:ilvl w:val="0"/>
          <w:numId w:val="0"/>
        </w:numPr>
        <w:spacing w:before="120" w:after="120" w:line="360" w:lineRule="auto"/>
        <w:ind w:leftChars="0"/>
        <w:jc w:val="left"/>
        <w:outlineLvl w:val="2"/>
        <w:rPr>
          <w:rFonts w:hint="eastAsia" w:ascii="宋体" w:hAnsi="宋体"/>
          <w:b/>
          <w:sz w:val="36"/>
          <w:szCs w:val="36"/>
        </w:rPr>
      </w:pPr>
    </w:p>
    <w:p w14:paraId="1EE8FBFB">
      <w:pPr>
        <w:keepNext/>
        <w:keepLines/>
        <w:numPr>
          <w:ilvl w:val="0"/>
          <w:numId w:val="0"/>
        </w:numPr>
        <w:spacing w:before="120" w:after="120" w:line="360" w:lineRule="auto"/>
        <w:ind w:leftChars="0"/>
        <w:jc w:val="left"/>
        <w:outlineLvl w:val="2"/>
        <w:rPr>
          <w:rFonts w:hint="eastAsia" w:ascii="宋体" w:hAnsi="宋体"/>
          <w:b/>
          <w:sz w:val="36"/>
          <w:szCs w:val="36"/>
        </w:rPr>
      </w:pPr>
    </w:p>
    <w:p w14:paraId="0AF8AAC0">
      <w:pPr>
        <w:keepNext/>
        <w:keepLines/>
        <w:numPr>
          <w:ilvl w:val="0"/>
          <w:numId w:val="0"/>
        </w:numPr>
        <w:spacing w:before="120" w:after="120" w:line="360" w:lineRule="auto"/>
        <w:ind w:leftChars="0"/>
        <w:jc w:val="left"/>
        <w:outlineLvl w:val="2"/>
        <w:rPr>
          <w:rFonts w:hint="eastAsia" w:ascii="宋体" w:hAnsi="宋体"/>
          <w:b/>
          <w:sz w:val="36"/>
          <w:szCs w:val="36"/>
        </w:rPr>
      </w:pPr>
    </w:p>
    <w:p w14:paraId="3804F04C">
      <w:pPr>
        <w:keepNext/>
        <w:keepLines/>
        <w:numPr>
          <w:ilvl w:val="0"/>
          <w:numId w:val="0"/>
        </w:numPr>
        <w:spacing w:before="120" w:after="120" w:line="360" w:lineRule="auto"/>
        <w:ind w:leftChars="0"/>
        <w:jc w:val="left"/>
        <w:outlineLvl w:val="2"/>
        <w:rPr>
          <w:rFonts w:hint="eastAsia" w:ascii="宋体" w:hAnsi="宋体"/>
          <w:b/>
          <w:sz w:val="36"/>
          <w:szCs w:val="36"/>
        </w:rPr>
      </w:pPr>
    </w:p>
    <w:p w14:paraId="256E5708">
      <w:pPr>
        <w:keepNext/>
        <w:keepLines/>
        <w:numPr>
          <w:ilvl w:val="0"/>
          <w:numId w:val="0"/>
        </w:numPr>
        <w:spacing w:before="120" w:after="120" w:line="360" w:lineRule="auto"/>
        <w:ind w:leftChars="0"/>
        <w:jc w:val="left"/>
        <w:outlineLvl w:val="2"/>
        <w:rPr>
          <w:rFonts w:hint="eastAsia" w:ascii="宋体" w:hAnsi="宋体"/>
          <w:b/>
          <w:sz w:val="36"/>
          <w:szCs w:val="36"/>
        </w:rPr>
      </w:pPr>
    </w:p>
    <w:p w14:paraId="1FBCD8F6">
      <w:pPr>
        <w:keepNext/>
        <w:keepLines/>
        <w:numPr>
          <w:ilvl w:val="0"/>
          <w:numId w:val="0"/>
        </w:numPr>
        <w:spacing w:before="120" w:after="120" w:line="360" w:lineRule="auto"/>
        <w:ind w:leftChars="0"/>
        <w:jc w:val="left"/>
        <w:outlineLvl w:val="2"/>
        <w:rPr>
          <w:rFonts w:hint="eastAsia" w:ascii="宋体" w:hAnsi="宋体"/>
          <w:b/>
          <w:sz w:val="36"/>
          <w:szCs w:val="36"/>
        </w:rPr>
      </w:pPr>
    </w:p>
    <w:p w14:paraId="48F022BE">
      <w:pPr>
        <w:keepNext/>
        <w:keepLines/>
        <w:numPr>
          <w:ilvl w:val="0"/>
          <w:numId w:val="0"/>
        </w:numPr>
        <w:spacing w:before="120" w:after="120" w:line="360" w:lineRule="auto"/>
        <w:ind w:leftChars="0"/>
        <w:jc w:val="left"/>
        <w:outlineLvl w:val="2"/>
        <w:rPr>
          <w:rFonts w:hint="eastAsia" w:ascii="宋体" w:hAnsi="宋体"/>
          <w:b/>
          <w:sz w:val="36"/>
          <w:szCs w:val="36"/>
        </w:rPr>
      </w:pPr>
      <w:r>
        <w:rPr>
          <w:rFonts w:hint="eastAsia" w:ascii="宋体" w:hAnsi="宋体"/>
          <w:b/>
          <w:sz w:val="36"/>
          <w:szCs w:val="36"/>
        </w:rPr>
        <w:t>投标文件内容</w:t>
      </w:r>
      <w:r>
        <w:rPr>
          <w:rFonts w:hint="eastAsia" w:ascii="宋体" w:hAnsi="宋体"/>
          <w:b/>
          <w:sz w:val="36"/>
          <w:szCs w:val="36"/>
          <w:lang w:eastAsia="zh-CN"/>
        </w:rPr>
        <w:t>：</w:t>
      </w:r>
    </w:p>
    <w:p w14:paraId="107AE68A">
      <w:pPr>
        <w:spacing w:line="360" w:lineRule="auto"/>
        <w:jc w:val="left"/>
        <w:rPr>
          <w:rFonts w:hint="eastAsia" w:ascii="黑体" w:hAnsi="黑体" w:eastAsia="黑体" w:cs="黑体"/>
          <w:sz w:val="30"/>
          <w:szCs w:val="30"/>
        </w:rPr>
      </w:pPr>
    </w:p>
    <w:p w14:paraId="7A5BD7E9">
      <w:pPr>
        <w:spacing w:line="360" w:lineRule="auto"/>
        <w:jc w:val="left"/>
        <w:rPr>
          <w:rFonts w:hint="eastAsia" w:ascii="黑体" w:hAnsi="黑体" w:eastAsia="黑体" w:cs="黑体"/>
          <w:sz w:val="30"/>
          <w:szCs w:val="30"/>
        </w:rPr>
      </w:pPr>
    </w:p>
    <w:p w14:paraId="7CA41CB2">
      <w:pPr>
        <w:spacing w:line="360" w:lineRule="auto"/>
        <w:jc w:val="left"/>
        <w:rPr>
          <w:rFonts w:hint="eastAsia" w:ascii="黑体" w:hAnsi="黑体" w:eastAsia="黑体" w:cs="黑体"/>
          <w:sz w:val="30"/>
          <w:szCs w:val="30"/>
        </w:rPr>
      </w:pPr>
    </w:p>
    <w:p w14:paraId="025221BF">
      <w:pPr>
        <w:spacing w:line="360" w:lineRule="auto"/>
        <w:jc w:val="left"/>
        <w:rPr>
          <w:rFonts w:hint="eastAsia" w:ascii="黑体" w:hAnsi="黑体" w:eastAsia="黑体" w:cs="黑体"/>
          <w:sz w:val="30"/>
          <w:szCs w:val="30"/>
        </w:rPr>
      </w:pPr>
      <w:r>
        <w:rPr>
          <w:rFonts w:hint="eastAsia" w:ascii="黑体" w:hAnsi="黑体" w:eastAsia="黑体" w:cs="黑体"/>
          <w:sz w:val="30"/>
          <w:szCs w:val="30"/>
          <w:u w:val="single"/>
        </w:rPr>
        <w:t xml:space="preserve">                                                </w:t>
      </w:r>
      <w:r>
        <w:rPr>
          <w:rFonts w:hint="eastAsia" w:ascii="宋体" w:hAnsi="宋体"/>
          <w:b/>
          <w:bCs/>
          <w:sz w:val="52"/>
          <w:szCs w:val="52"/>
        </w:rPr>
        <w:t xml:space="preserve">工程 </w:t>
      </w:r>
    </w:p>
    <w:p w14:paraId="771CE4B0">
      <w:pPr>
        <w:spacing w:line="360" w:lineRule="auto"/>
        <w:ind w:firstLine="2700" w:firstLineChars="900"/>
        <w:jc w:val="left"/>
        <w:rPr>
          <w:rFonts w:hint="eastAsia" w:ascii="黑体" w:hAnsi="黑体" w:eastAsia="黑体" w:cs="黑体"/>
          <w:sz w:val="30"/>
          <w:szCs w:val="30"/>
        </w:rPr>
      </w:pPr>
      <w:r>
        <w:rPr>
          <w:rFonts w:hint="eastAsia" w:ascii="黑体" w:hAnsi="黑体" w:eastAsia="黑体" w:cs="黑体"/>
          <w:sz w:val="30"/>
          <w:szCs w:val="30"/>
        </w:rPr>
        <w:t xml:space="preserve"> </w:t>
      </w:r>
    </w:p>
    <w:p w14:paraId="72DF02B6">
      <w:pPr>
        <w:spacing w:line="360" w:lineRule="auto"/>
        <w:ind w:firstLine="2700" w:firstLineChars="900"/>
        <w:jc w:val="left"/>
        <w:rPr>
          <w:rFonts w:hint="eastAsia" w:ascii="黑体" w:hAnsi="黑体" w:eastAsia="黑体" w:cs="黑体"/>
          <w:sz w:val="30"/>
          <w:szCs w:val="30"/>
        </w:rPr>
      </w:pPr>
    </w:p>
    <w:p w14:paraId="1FB7D50E">
      <w:pPr>
        <w:spacing w:line="360" w:lineRule="auto"/>
        <w:ind w:firstLine="3393" w:firstLineChars="650"/>
        <w:jc w:val="left"/>
        <w:rPr>
          <w:rFonts w:hint="eastAsia" w:ascii="宋体" w:hAnsi="宋体"/>
          <w:b/>
          <w:bCs/>
          <w:sz w:val="52"/>
          <w:szCs w:val="52"/>
        </w:rPr>
      </w:pPr>
      <w:r>
        <w:rPr>
          <w:rFonts w:hint="eastAsia" w:ascii="宋体" w:hAnsi="宋体"/>
          <w:b/>
          <w:bCs/>
          <w:sz w:val="52"/>
          <w:szCs w:val="52"/>
        </w:rPr>
        <w:t>投 标 文 件</w:t>
      </w:r>
    </w:p>
    <w:p w14:paraId="3973F4C5">
      <w:pPr>
        <w:spacing w:line="360" w:lineRule="auto"/>
        <w:ind w:firstLine="3357" w:firstLineChars="1045"/>
        <w:rPr>
          <w:rFonts w:hint="eastAsia" w:ascii="宋体" w:hAnsi="宋体"/>
          <w:b/>
          <w:bCs/>
          <w:sz w:val="32"/>
        </w:rPr>
      </w:pPr>
    </w:p>
    <w:p w14:paraId="6D1BAC4E">
      <w:pPr>
        <w:spacing w:line="360" w:lineRule="auto"/>
        <w:ind w:firstLine="3357" w:firstLineChars="1045"/>
        <w:rPr>
          <w:rFonts w:hint="eastAsia" w:ascii="宋体" w:hAnsi="宋体"/>
          <w:b/>
          <w:bCs/>
          <w:sz w:val="32"/>
        </w:rPr>
      </w:pPr>
    </w:p>
    <w:p w14:paraId="4D68683E">
      <w:pPr>
        <w:spacing w:line="360" w:lineRule="auto"/>
        <w:ind w:firstLine="2937" w:firstLineChars="1045"/>
        <w:jc w:val="left"/>
        <w:rPr>
          <w:rFonts w:hint="eastAsia" w:ascii="宋体" w:hAnsi="宋体"/>
          <w:b/>
          <w:bCs/>
          <w:sz w:val="28"/>
          <w:u w:val="single"/>
        </w:rPr>
      </w:pPr>
    </w:p>
    <w:p w14:paraId="5801B969">
      <w:pPr>
        <w:spacing w:line="360" w:lineRule="auto"/>
        <w:jc w:val="center"/>
        <w:rPr>
          <w:rFonts w:hint="eastAsia" w:ascii="宋体" w:hAnsi="宋体"/>
          <w:b/>
          <w:bCs/>
          <w:sz w:val="72"/>
        </w:rPr>
      </w:pPr>
    </w:p>
    <w:p w14:paraId="6E8114D8">
      <w:pPr>
        <w:spacing w:line="360" w:lineRule="auto"/>
        <w:jc w:val="center"/>
        <w:rPr>
          <w:rFonts w:hint="eastAsia" w:ascii="宋体" w:hAnsi="宋体"/>
          <w:b/>
          <w:bCs/>
          <w:sz w:val="72"/>
        </w:rPr>
      </w:pPr>
    </w:p>
    <w:p w14:paraId="56A4E459">
      <w:pPr>
        <w:spacing w:line="360" w:lineRule="auto"/>
        <w:rPr>
          <w:rFonts w:hint="eastAsia" w:ascii="宋体" w:hAnsi="宋体"/>
          <w:b/>
          <w:bCs/>
          <w:sz w:val="30"/>
          <w:szCs w:val="30"/>
          <w:u w:val="single"/>
        </w:rPr>
      </w:pPr>
      <w:r>
        <w:rPr>
          <w:rFonts w:hint="eastAsia" w:ascii="宋体" w:hAnsi="宋体"/>
          <w:b/>
          <w:bCs/>
          <w:sz w:val="32"/>
        </w:rPr>
        <w:t>项目名称</w:t>
      </w:r>
      <w:r>
        <w:rPr>
          <w:rFonts w:hint="eastAsia" w:ascii="宋体" w:hAnsi="宋体"/>
          <w:b/>
          <w:bCs/>
          <w:sz w:val="36"/>
          <w:szCs w:val="36"/>
          <w:u w:val="single"/>
        </w:rPr>
        <w:t xml:space="preserve">:      </w:t>
      </w:r>
      <w:r>
        <w:rPr>
          <w:rFonts w:hint="eastAsia" w:ascii="宋体" w:hAnsi="宋体"/>
          <w:b/>
          <w:bCs/>
          <w:sz w:val="32"/>
          <w:u w:val="single"/>
        </w:rPr>
        <w:t xml:space="preserve">                            </w:t>
      </w:r>
      <w:r>
        <w:rPr>
          <w:rFonts w:hint="eastAsia" w:ascii="宋体" w:hAnsi="宋体"/>
          <w:b/>
          <w:bCs/>
          <w:sz w:val="30"/>
          <w:szCs w:val="30"/>
          <w:u w:val="single"/>
        </w:rPr>
        <w:t xml:space="preserve">        </w:t>
      </w:r>
    </w:p>
    <w:p w14:paraId="6F13594F">
      <w:pPr>
        <w:spacing w:line="360" w:lineRule="auto"/>
        <w:rPr>
          <w:rFonts w:hint="eastAsia" w:ascii="宋体" w:hAnsi="宋体"/>
          <w:b/>
          <w:bCs/>
          <w:sz w:val="32"/>
          <w:u w:val="single"/>
        </w:rPr>
      </w:pPr>
      <w:r>
        <w:rPr>
          <w:rFonts w:hint="eastAsia" w:ascii="宋体" w:hAnsi="宋体"/>
          <w:b/>
          <w:bCs/>
          <w:sz w:val="32"/>
        </w:rPr>
        <w:t>投标人（盖章）：</w:t>
      </w:r>
      <w:r>
        <w:rPr>
          <w:rFonts w:hint="eastAsia" w:ascii="宋体" w:hAnsi="宋体"/>
          <w:b/>
          <w:bCs/>
          <w:sz w:val="32"/>
          <w:u w:val="single"/>
        </w:rPr>
        <w:t xml:space="preserve">   </w:t>
      </w:r>
      <w:r>
        <w:rPr>
          <w:rFonts w:hint="eastAsia" w:ascii="宋体" w:hAnsi="宋体"/>
          <w:b/>
          <w:sz w:val="30"/>
          <w:szCs w:val="30"/>
          <w:u w:val="single"/>
        </w:rPr>
        <w:t xml:space="preserve">        </w:t>
      </w:r>
      <w:r>
        <w:rPr>
          <w:rFonts w:hint="eastAsia" w:ascii="宋体" w:hAnsi="宋体"/>
          <w:b/>
          <w:bCs/>
          <w:sz w:val="32"/>
          <w:u w:val="single"/>
        </w:rPr>
        <w:t xml:space="preserve">                           </w:t>
      </w:r>
    </w:p>
    <w:p w14:paraId="1D8DB8EC">
      <w:pPr>
        <w:spacing w:line="360" w:lineRule="auto"/>
        <w:rPr>
          <w:rFonts w:hint="eastAsia" w:ascii="宋体" w:hAnsi="宋体"/>
          <w:b/>
          <w:bCs/>
          <w:sz w:val="32"/>
          <w:u w:val="single"/>
        </w:rPr>
      </w:pPr>
      <w:r>
        <w:rPr>
          <w:rFonts w:hint="eastAsia" w:ascii="宋体" w:hAnsi="宋体"/>
          <w:b/>
          <w:bCs/>
          <w:sz w:val="32"/>
        </w:rPr>
        <w:t>法定代表人或其委托代理人（签字或盖章）：</w:t>
      </w:r>
      <w:r>
        <w:rPr>
          <w:rFonts w:hint="eastAsia" w:ascii="宋体" w:hAnsi="宋体"/>
          <w:b/>
          <w:bCs/>
          <w:sz w:val="32"/>
          <w:u w:val="single"/>
        </w:rPr>
        <w:t xml:space="preserve">             </w:t>
      </w:r>
    </w:p>
    <w:p w14:paraId="558FA62D">
      <w:pPr>
        <w:spacing w:line="360" w:lineRule="auto"/>
        <w:rPr>
          <w:rFonts w:hint="eastAsia" w:ascii="宋体" w:hAnsi="宋体"/>
          <w:b/>
          <w:bCs/>
          <w:sz w:val="32"/>
        </w:rPr>
      </w:pPr>
      <w:r>
        <w:rPr>
          <w:rFonts w:hint="eastAsia" w:ascii="宋体" w:hAnsi="宋体"/>
          <w:b/>
          <w:bCs/>
          <w:sz w:val="32"/>
        </w:rPr>
        <w:t xml:space="preserve">日期：   </w:t>
      </w:r>
      <w:r>
        <w:rPr>
          <w:rFonts w:hint="eastAsia" w:ascii="宋体" w:hAnsi="宋体"/>
          <w:b/>
          <w:bCs/>
          <w:sz w:val="32"/>
          <w:u w:val="single"/>
        </w:rPr>
        <w:t xml:space="preserve">     </w:t>
      </w:r>
      <w:r>
        <w:rPr>
          <w:rFonts w:hint="eastAsia" w:ascii="宋体" w:hAnsi="宋体"/>
          <w:b/>
          <w:bCs/>
          <w:sz w:val="32"/>
        </w:rPr>
        <w:t>年</w:t>
      </w:r>
      <w:r>
        <w:rPr>
          <w:rFonts w:hint="eastAsia" w:ascii="宋体" w:hAnsi="宋体"/>
          <w:b/>
          <w:bCs/>
          <w:sz w:val="32"/>
          <w:u w:val="single"/>
        </w:rPr>
        <w:t xml:space="preserve">     </w:t>
      </w:r>
      <w:r>
        <w:rPr>
          <w:rFonts w:hint="eastAsia" w:ascii="宋体" w:hAnsi="宋体"/>
          <w:b/>
          <w:bCs/>
          <w:sz w:val="32"/>
        </w:rPr>
        <w:t>月</w:t>
      </w:r>
      <w:r>
        <w:rPr>
          <w:rFonts w:hint="eastAsia" w:ascii="宋体" w:hAnsi="宋体"/>
          <w:b/>
          <w:bCs/>
          <w:sz w:val="32"/>
          <w:u w:val="single"/>
        </w:rPr>
        <w:t xml:space="preserve">    </w:t>
      </w:r>
      <w:r>
        <w:rPr>
          <w:rFonts w:hint="eastAsia" w:ascii="宋体" w:hAnsi="宋体"/>
          <w:b/>
          <w:bCs/>
          <w:sz w:val="32"/>
        </w:rPr>
        <w:t>日</w:t>
      </w:r>
    </w:p>
    <w:p w14:paraId="6EDD829F">
      <w:pPr>
        <w:spacing w:line="360" w:lineRule="auto"/>
        <w:jc w:val="center"/>
        <w:rPr>
          <w:rFonts w:hint="eastAsia" w:ascii="宋体" w:hAnsi="宋体"/>
          <w:b/>
          <w:bCs/>
          <w:sz w:val="32"/>
        </w:rPr>
      </w:pPr>
    </w:p>
    <w:p w14:paraId="12BF88D0">
      <w:pPr>
        <w:spacing w:line="360" w:lineRule="auto"/>
        <w:jc w:val="center"/>
        <w:rPr>
          <w:rFonts w:hint="eastAsia" w:ascii="宋体" w:hAnsi="宋体"/>
          <w:b/>
          <w:bCs/>
          <w:sz w:val="32"/>
        </w:rPr>
      </w:pPr>
    </w:p>
    <w:p w14:paraId="4C86EF3C">
      <w:pPr>
        <w:spacing w:line="360" w:lineRule="auto"/>
        <w:jc w:val="center"/>
        <w:rPr>
          <w:rFonts w:hint="eastAsia" w:ascii="宋体" w:hAnsi="宋体"/>
          <w:b/>
          <w:bCs/>
          <w:sz w:val="32"/>
        </w:rPr>
      </w:pPr>
    </w:p>
    <w:p w14:paraId="5CB7DE8B">
      <w:pPr>
        <w:spacing w:line="360" w:lineRule="auto"/>
        <w:rPr>
          <w:rFonts w:hint="eastAsia" w:ascii="宋体" w:hAnsi="宋体"/>
          <w:b/>
          <w:sz w:val="48"/>
        </w:rPr>
      </w:pPr>
    </w:p>
    <w:p w14:paraId="120C55D5">
      <w:pPr>
        <w:spacing w:line="360" w:lineRule="auto"/>
        <w:jc w:val="center"/>
        <w:rPr>
          <w:rFonts w:hint="eastAsia" w:ascii="宋体" w:hAnsi="宋体"/>
        </w:rPr>
      </w:pPr>
      <w:r>
        <w:rPr>
          <w:rFonts w:hint="eastAsia" w:ascii="宋体" w:hAnsi="宋体"/>
          <w:b/>
          <w:bCs/>
          <w:sz w:val="32"/>
        </w:rPr>
        <w:t>目  录</w:t>
      </w:r>
    </w:p>
    <w:p w14:paraId="60C46D2C">
      <w:pPr>
        <w:numPr>
          <w:ilvl w:val="0"/>
          <w:numId w:val="1"/>
        </w:numPr>
        <w:adjustRightInd w:val="0"/>
        <w:spacing w:line="360" w:lineRule="auto"/>
        <w:ind w:left="420" w:right="34"/>
        <w:textAlignment w:val="baseline"/>
        <w:rPr>
          <w:rFonts w:hint="eastAsia" w:ascii="宋体" w:hAnsi="宋体"/>
          <w:sz w:val="28"/>
          <w:szCs w:val="28"/>
        </w:rPr>
      </w:pPr>
      <w:r>
        <w:rPr>
          <w:rFonts w:ascii="宋体" w:hAnsi="宋体"/>
          <w:sz w:val="28"/>
          <w:szCs w:val="28"/>
        </w:rPr>
        <w:t>1、</w:t>
      </w:r>
      <w:r>
        <w:rPr>
          <w:rFonts w:hint="eastAsia" w:ascii="宋体" w:hAnsi="宋体"/>
          <w:sz w:val="28"/>
          <w:szCs w:val="28"/>
        </w:rPr>
        <w:t>投标函</w:t>
      </w:r>
      <w:r>
        <w:rPr>
          <w:rFonts w:ascii="宋体" w:hAnsi="宋体"/>
          <w:sz w:val="28"/>
          <w:szCs w:val="28"/>
        </w:rPr>
        <w:t>；</w:t>
      </w:r>
    </w:p>
    <w:p w14:paraId="12DB0D88">
      <w:pPr>
        <w:numPr>
          <w:ilvl w:val="0"/>
          <w:numId w:val="1"/>
        </w:numPr>
        <w:adjustRightInd w:val="0"/>
        <w:spacing w:line="360" w:lineRule="auto"/>
        <w:ind w:left="420" w:right="34"/>
        <w:textAlignment w:val="baseline"/>
        <w:rPr>
          <w:rFonts w:hint="eastAsia" w:ascii="宋体" w:hAnsi="宋体"/>
          <w:sz w:val="28"/>
          <w:szCs w:val="28"/>
        </w:rPr>
      </w:pPr>
      <w:r>
        <w:rPr>
          <w:rFonts w:ascii="宋体" w:hAnsi="宋体"/>
          <w:sz w:val="28"/>
          <w:szCs w:val="28"/>
        </w:rPr>
        <w:t>2、</w:t>
      </w:r>
      <w:r>
        <w:rPr>
          <w:rFonts w:hint="eastAsia" w:ascii="宋体" w:hAnsi="宋体"/>
          <w:sz w:val="28"/>
          <w:szCs w:val="28"/>
        </w:rPr>
        <w:t>法定代表人资格证明书、身份证复印件；</w:t>
      </w:r>
    </w:p>
    <w:p w14:paraId="74439E75">
      <w:pPr>
        <w:numPr>
          <w:ilvl w:val="0"/>
          <w:numId w:val="1"/>
        </w:numPr>
        <w:adjustRightInd w:val="0"/>
        <w:spacing w:line="360" w:lineRule="auto"/>
        <w:ind w:left="420" w:right="34"/>
        <w:textAlignment w:val="baseline"/>
        <w:rPr>
          <w:rFonts w:hint="eastAsia" w:ascii="宋体" w:hAnsi="宋体"/>
          <w:sz w:val="28"/>
          <w:szCs w:val="28"/>
        </w:rPr>
      </w:pPr>
      <w:r>
        <w:rPr>
          <w:rFonts w:hint="eastAsia" w:ascii="宋体" w:hAnsi="宋体"/>
          <w:sz w:val="28"/>
          <w:szCs w:val="28"/>
        </w:rPr>
        <w:t>3、法定代表授权委托书、身份证复印件</w:t>
      </w:r>
      <w:r>
        <w:rPr>
          <w:rFonts w:hint="eastAsia" w:ascii="宋体" w:hAnsi="宋体"/>
          <w:sz w:val="28"/>
          <w:szCs w:val="28"/>
          <w:lang w:eastAsia="zh-CN"/>
        </w:rPr>
        <w:t>（如有）</w:t>
      </w:r>
      <w:r>
        <w:rPr>
          <w:rFonts w:hint="eastAsia" w:ascii="宋体" w:hAnsi="宋体"/>
          <w:sz w:val="28"/>
          <w:szCs w:val="28"/>
        </w:rPr>
        <w:t>；</w:t>
      </w:r>
    </w:p>
    <w:p w14:paraId="0F7798DC">
      <w:pPr>
        <w:numPr>
          <w:ilvl w:val="0"/>
          <w:numId w:val="1"/>
        </w:numPr>
        <w:adjustRightInd w:val="0"/>
        <w:spacing w:line="360" w:lineRule="auto"/>
        <w:ind w:left="420" w:right="34"/>
        <w:textAlignment w:val="baseline"/>
        <w:rPr>
          <w:rFonts w:hint="eastAsia" w:ascii="宋体" w:hAnsi="宋体"/>
          <w:sz w:val="28"/>
          <w:szCs w:val="28"/>
        </w:rPr>
      </w:pPr>
      <w:r>
        <w:rPr>
          <w:rFonts w:hint="eastAsia" w:ascii="宋体" w:hAnsi="宋体"/>
          <w:sz w:val="28"/>
          <w:szCs w:val="28"/>
        </w:rPr>
        <w:t>4、报价单；</w:t>
      </w:r>
    </w:p>
    <w:p w14:paraId="0E13EFA4">
      <w:pPr>
        <w:numPr>
          <w:ilvl w:val="0"/>
          <w:numId w:val="1"/>
        </w:numPr>
        <w:adjustRightInd w:val="0"/>
        <w:spacing w:line="360" w:lineRule="auto"/>
        <w:ind w:left="420" w:right="34"/>
        <w:textAlignment w:val="baseline"/>
        <w:rPr>
          <w:rFonts w:hint="eastAsia" w:ascii="宋体" w:hAnsi="宋体"/>
          <w:sz w:val="28"/>
          <w:szCs w:val="28"/>
        </w:rPr>
      </w:pPr>
      <w:r>
        <w:rPr>
          <w:rFonts w:hint="eastAsia" w:ascii="宋体" w:hAnsi="宋体"/>
          <w:sz w:val="28"/>
          <w:szCs w:val="28"/>
        </w:rPr>
        <w:t>5、企业营业执照；</w:t>
      </w:r>
    </w:p>
    <w:p w14:paraId="6A5183DF">
      <w:pPr>
        <w:numPr>
          <w:ilvl w:val="0"/>
          <w:numId w:val="1"/>
        </w:numPr>
        <w:adjustRightInd w:val="0"/>
        <w:spacing w:line="360" w:lineRule="auto"/>
        <w:ind w:left="420" w:right="34"/>
        <w:textAlignment w:val="baseline"/>
        <w:rPr>
          <w:rFonts w:hint="eastAsia" w:ascii="宋体" w:hAnsi="宋体"/>
          <w:sz w:val="28"/>
          <w:szCs w:val="28"/>
        </w:rPr>
      </w:pPr>
      <w:r>
        <w:rPr>
          <w:rFonts w:hint="eastAsia" w:ascii="宋体" w:hAnsi="宋体"/>
          <w:sz w:val="28"/>
          <w:szCs w:val="28"/>
        </w:rPr>
        <w:t>6、供货业绩；</w:t>
      </w:r>
    </w:p>
    <w:p w14:paraId="5BC02E13">
      <w:pPr>
        <w:pStyle w:val="5"/>
        <w:ind w:firstLine="420" w:firstLineChars="150"/>
        <w:rPr>
          <w:rFonts w:hint="eastAsia" w:ascii="宋体" w:hAnsi="宋体" w:eastAsia="宋体"/>
          <w:szCs w:val="28"/>
        </w:rPr>
      </w:pPr>
      <w:r>
        <w:rPr>
          <w:rFonts w:hint="eastAsia" w:ascii="宋体" w:hAnsi="宋体"/>
          <w:sz w:val="28"/>
          <w:szCs w:val="28"/>
        </w:rPr>
        <w:t>7、</w:t>
      </w:r>
      <w:r>
        <w:rPr>
          <w:rFonts w:hint="eastAsia" w:ascii="宋体" w:hAnsi="宋体" w:eastAsia="宋体"/>
          <w:szCs w:val="28"/>
        </w:rPr>
        <w:t>工程投标廉政承诺书；</w:t>
      </w:r>
    </w:p>
    <w:p w14:paraId="5D4B433D">
      <w:pPr>
        <w:pStyle w:val="5"/>
        <w:ind w:firstLine="420" w:firstLineChars="150"/>
        <w:rPr>
          <w:rFonts w:hint="eastAsia" w:ascii="宋体" w:hAnsi="宋体" w:eastAsia="宋体"/>
          <w:szCs w:val="28"/>
          <w:lang w:eastAsia="zh-CN"/>
        </w:rPr>
      </w:pPr>
      <w:r>
        <w:rPr>
          <w:rFonts w:hint="eastAsia" w:ascii="宋体" w:hAnsi="宋体" w:eastAsia="宋体"/>
          <w:szCs w:val="28"/>
          <w:lang w:val="en-US" w:eastAsia="zh-CN"/>
        </w:rPr>
        <w:t>8</w:t>
      </w:r>
      <w:r>
        <w:rPr>
          <w:rFonts w:hint="eastAsia" w:ascii="宋体" w:hAnsi="宋体" w:eastAsia="宋体"/>
          <w:szCs w:val="28"/>
        </w:rPr>
        <w:t>、投标人未被列入失信被执行人、重大税收违法案件当事人名单及政府采购严重违法失信行为记录名单</w:t>
      </w:r>
      <w:r>
        <w:rPr>
          <w:rFonts w:hint="eastAsia" w:ascii="宋体" w:hAnsi="宋体" w:eastAsia="宋体"/>
          <w:szCs w:val="28"/>
          <w:lang w:eastAsia="zh-CN"/>
        </w:rPr>
        <w:t>；</w:t>
      </w:r>
    </w:p>
    <w:p w14:paraId="476B0A3D">
      <w:pPr>
        <w:pStyle w:val="6"/>
        <w:rPr>
          <w:rFonts w:hint="default" w:eastAsia="宋体"/>
          <w:lang w:val="en-US" w:eastAsia="zh-CN"/>
        </w:rPr>
      </w:pPr>
      <w:r>
        <w:rPr>
          <w:rFonts w:hint="eastAsia" w:ascii="宋体" w:hAnsi="宋体" w:eastAsia="宋体"/>
          <w:szCs w:val="28"/>
          <w:lang w:val="en-US" w:eastAsia="zh-CN"/>
        </w:rPr>
        <w:t xml:space="preserve">   9、投标人可补充其他资料。</w:t>
      </w:r>
    </w:p>
    <w:p w14:paraId="2ECD4364">
      <w:pPr>
        <w:pStyle w:val="6"/>
        <w:rPr>
          <w:rFonts w:hint="eastAsia"/>
          <w:lang w:val="en-US" w:eastAsia="zh-CN"/>
        </w:rPr>
      </w:pPr>
    </w:p>
    <w:p w14:paraId="7A685B89">
      <w:pPr>
        <w:pStyle w:val="2"/>
        <w:numPr>
          <w:ilvl w:val="0"/>
          <w:numId w:val="0"/>
        </w:numPr>
        <w:tabs>
          <w:tab w:val="left" w:pos="720"/>
        </w:tabs>
        <w:ind w:left="720" w:hanging="720"/>
        <w:jc w:val="center"/>
        <w:rPr>
          <w:rFonts w:hint="eastAsia"/>
          <w:color w:val="auto"/>
        </w:rPr>
      </w:pPr>
      <w:r>
        <w:rPr>
          <w:rFonts w:hint="eastAsia"/>
          <w:color w:val="auto"/>
        </w:rPr>
        <w:br w:type="page"/>
      </w:r>
    </w:p>
    <w:p w14:paraId="01FC09BF">
      <w:pPr>
        <w:spacing w:line="360" w:lineRule="auto"/>
        <w:jc w:val="left"/>
        <w:rPr>
          <w:rFonts w:ascii="宋体" w:hAnsi="宋体"/>
          <w:sz w:val="28"/>
        </w:rPr>
      </w:pPr>
      <w:r>
        <w:rPr>
          <w:rFonts w:hint="eastAsia" w:ascii="宋体" w:hAnsi="宋体"/>
          <w:sz w:val="28"/>
        </w:rPr>
        <w:t>附件1：</w:t>
      </w:r>
    </w:p>
    <w:p w14:paraId="363468D2">
      <w:pPr>
        <w:pStyle w:val="2"/>
        <w:numPr>
          <w:ilvl w:val="0"/>
          <w:numId w:val="0"/>
        </w:numPr>
        <w:tabs>
          <w:tab w:val="left" w:pos="720"/>
        </w:tabs>
        <w:jc w:val="center"/>
        <w:rPr>
          <w:color w:val="auto"/>
        </w:rPr>
      </w:pPr>
      <w:r>
        <w:rPr>
          <w:color w:val="auto"/>
        </w:rPr>
        <w:t>投 标 函</w:t>
      </w:r>
    </w:p>
    <w:p w14:paraId="085818B3">
      <w:pPr>
        <w:spacing w:line="312" w:lineRule="auto"/>
        <w:rPr>
          <w:rFonts w:hint="eastAsia" w:ascii="宋体" w:hAnsi="宋体"/>
          <w:sz w:val="24"/>
          <w:u w:val="single"/>
        </w:rPr>
      </w:pPr>
      <w:r>
        <w:rPr>
          <w:rFonts w:hint="eastAsia" w:ascii="宋体" w:hAnsi="宋体"/>
          <w:sz w:val="24"/>
        </w:rPr>
        <w:t>致：</w:t>
      </w:r>
      <w:r>
        <w:rPr>
          <w:rFonts w:ascii="宋体" w:hAnsi="宋体"/>
          <w:sz w:val="24"/>
          <w:u w:val="single"/>
        </w:rPr>
        <w:t xml:space="preserve"> </w:t>
      </w:r>
      <w:r>
        <w:rPr>
          <w:rFonts w:hint="eastAsia" w:ascii="宋体" w:hAnsi="宋体"/>
          <w:sz w:val="24"/>
          <w:u w:val="single"/>
        </w:rPr>
        <w:t>天津市管道工程集团有限公司第八分公司</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p>
    <w:p w14:paraId="30BBE861">
      <w:pPr>
        <w:spacing w:line="312" w:lineRule="auto"/>
        <w:ind w:left="105" w:leftChars="50" w:firstLine="439" w:firstLineChars="183"/>
        <w:rPr>
          <w:rFonts w:hint="eastAsia" w:ascii="宋体" w:hAnsi="宋体"/>
          <w:sz w:val="24"/>
        </w:rPr>
      </w:pPr>
      <w:r>
        <w:rPr>
          <w:rFonts w:hint="eastAsia" w:ascii="宋体" w:hAnsi="宋体"/>
          <w:sz w:val="24"/>
        </w:rPr>
        <w:t>1、根据你方招标工程</w:t>
      </w:r>
      <w:r>
        <w:rPr>
          <w:rFonts w:hint="eastAsia" w:ascii="宋体" w:hAnsi="宋体" w:cs="宋体"/>
          <w:bCs/>
          <w:sz w:val="24"/>
          <w:u w:val="single"/>
        </w:rPr>
        <w:t>引滦原水预处理厂工程施工（第2标段）</w:t>
      </w:r>
      <w:r>
        <w:rPr>
          <w:rFonts w:hint="eastAsia" w:ascii="宋体" w:hAnsi="宋体" w:cs="宋体"/>
          <w:bCs/>
          <w:sz w:val="24"/>
          <w:u w:val="single"/>
          <w:lang w:val="en-US" w:eastAsia="zh-CN"/>
        </w:rPr>
        <w:t>——总图阀门物资采购</w:t>
      </w:r>
      <w:r>
        <w:rPr>
          <w:rFonts w:hint="eastAsia" w:ascii="宋体" w:hAnsi="宋体" w:cs="宋体"/>
          <w:bCs/>
          <w:sz w:val="24"/>
          <w:u w:val="single"/>
        </w:rPr>
        <w:t xml:space="preserve"> </w:t>
      </w:r>
      <w:r>
        <w:rPr>
          <w:rFonts w:hint="eastAsia" w:ascii="宋体" w:hAnsi="宋体"/>
          <w:sz w:val="24"/>
        </w:rPr>
        <w:t>材料招标文件，遵照《中华人民共和国招标投标法》等有关规定，按照招标文件的综合说明、合同条款、质量标准及其他有关文件后，我方愿以人民币(大写)</w:t>
      </w:r>
      <w:r>
        <w:rPr>
          <w:rFonts w:hint="eastAsia" w:ascii="宋体" w:hAnsi="宋体"/>
          <w:sz w:val="24"/>
          <w:u w:val="single"/>
        </w:rPr>
        <w:t xml:space="preserve">                               </w:t>
      </w:r>
      <w:r>
        <w:rPr>
          <w:rFonts w:hint="eastAsia" w:ascii="宋体" w:hAnsi="宋体"/>
          <w:sz w:val="24"/>
        </w:rPr>
        <w:t>元（RMB</w:t>
      </w:r>
      <w:r>
        <w:rPr>
          <w:rFonts w:hint="eastAsia" w:ascii="宋体" w:hAnsi="宋体"/>
          <w:sz w:val="24"/>
          <w:u w:val="single"/>
        </w:rPr>
        <w:t>￥           元</w:t>
      </w:r>
      <w:r>
        <w:rPr>
          <w:rFonts w:hint="eastAsia" w:ascii="宋体" w:hAnsi="宋体"/>
          <w:sz w:val="24"/>
        </w:rPr>
        <w:t>）的投标报价并按上述的条件要求，承包上述工程材料的供应，并承担任何因材料质量缺陷导致的维修、赔偿责任，运输安全责任。本报价包含运输费、装卸费、税金。此报价金额金额以报价单数量、金额为准。工程实际用量以现场实际用量双方确认单为准，结算价格以最终合同单价为准。</w:t>
      </w:r>
    </w:p>
    <w:p w14:paraId="570EE2A2">
      <w:pPr>
        <w:spacing w:line="312" w:lineRule="auto"/>
        <w:ind w:firstLine="490"/>
        <w:rPr>
          <w:rFonts w:hint="eastAsia" w:ascii="宋体" w:hAnsi="宋体"/>
          <w:sz w:val="24"/>
        </w:rPr>
      </w:pPr>
      <w:r>
        <w:rPr>
          <w:rFonts w:hint="eastAsia" w:ascii="宋体" w:hAnsi="宋体"/>
          <w:sz w:val="24"/>
        </w:rPr>
        <w:t>2、我方已详细审核全部招标文件，包括有关附件，并进行了现场勘查。</w:t>
      </w:r>
    </w:p>
    <w:p w14:paraId="4FF04D3F">
      <w:pPr>
        <w:spacing w:line="312" w:lineRule="auto"/>
        <w:ind w:firstLine="480" w:firstLineChars="200"/>
        <w:rPr>
          <w:rFonts w:hint="eastAsia" w:ascii="宋体" w:hAnsi="宋体"/>
          <w:sz w:val="24"/>
          <w:u w:val="single"/>
        </w:rPr>
      </w:pPr>
      <w:r>
        <w:rPr>
          <w:rFonts w:hint="eastAsia" w:ascii="宋体" w:hAnsi="宋体"/>
          <w:sz w:val="24"/>
        </w:rPr>
        <w:t>3、一旦我方中标，我方保证按合同协议书中规定的日期完成全部材料供应,供货期：</w:t>
      </w:r>
      <w:r>
        <w:rPr>
          <w:rFonts w:hint="eastAsia" w:ascii="宋体" w:hAnsi="宋体"/>
          <w:sz w:val="24"/>
          <w:u w:val="single"/>
        </w:rPr>
        <w:t xml:space="preserve"> 以第八分公司需求为准</w:t>
      </w:r>
      <w:r>
        <w:rPr>
          <w:rFonts w:hint="eastAsia" w:ascii="宋体" w:hAnsi="宋体"/>
          <w:sz w:val="24"/>
        </w:rPr>
        <w:t>。材料质量满足技术要求，达到该工程材料验收规范标准，且不低于投标样品。</w:t>
      </w:r>
    </w:p>
    <w:p w14:paraId="174E4B4D">
      <w:pPr>
        <w:spacing w:line="312" w:lineRule="auto"/>
        <w:ind w:firstLine="490"/>
        <w:rPr>
          <w:rFonts w:hint="eastAsia" w:ascii="宋体" w:hAnsi="宋体"/>
          <w:sz w:val="24"/>
        </w:rPr>
      </w:pPr>
      <w:r>
        <w:rPr>
          <w:rFonts w:hint="eastAsia" w:ascii="宋体" w:hAnsi="宋体"/>
          <w:sz w:val="24"/>
        </w:rPr>
        <w:t>4、我方同意所提交的投标文件在招标文件的综合说明中第16条规定的投标有效期内有效，在此期间内如果中标，我方将受此约束。</w:t>
      </w:r>
    </w:p>
    <w:p w14:paraId="7B179740">
      <w:pPr>
        <w:spacing w:line="312" w:lineRule="auto"/>
        <w:ind w:firstLine="490"/>
        <w:rPr>
          <w:rFonts w:hint="eastAsia" w:ascii="宋体" w:hAnsi="宋体"/>
          <w:sz w:val="24"/>
        </w:rPr>
      </w:pPr>
      <w:r>
        <w:rPr>
          <w:rFonts w:hint="eastAsia" w:ascii="宋体" w:hAnsi="宋体"/>
          <w:sz w:val="24"/>
        </w:rPr>
        <w:t>5、除非另外达成协议并生效，你方的中标通知书和本投标文件将成为约束双方的合同文件的组成部分。</w:t>
      </w:r>
    </w:p>
    <w:p w14:paraId="49D8AB9A">
      <w:pPr>
        <w:spacing w:line="312" w:lineRule="auto"/>
        <w:ind w:firstLine="490"/>
        <w:rPr>
          <w:rFonts w:hint="eastAsia" w:ascii="宋体" w:hAnsi="宋体"/>
          <w:sz w:val="24"/>
        </w:rPr>
      </w:pPr>
      <w:r>
        <w:rPr>
          <w:rFonts w:hint="eastAsia" w:ascii="宋体" w:hAnsi="宋体"/>
          <w:sz w:val="24"/>
        </w:rPr>
        <w:t>6、我方同意本投标书在招标文件综合说明中规定的投标有效期截止前一直对我方有约束力，且随时能按此投标书中标。</w:t>
      </w:r>
    </w:p>
    <w:p w14:paraId="7A8FA13D">
      <w:pPr>
        <w:spacing w:line="312" w:lineRule="auto"/>
        <w:ind w:firstLine="490"/>
        <w:rPr>
          <w:rFonts w:ascii="宋体" w:hAnsi="宋体"/>
          <w:sz w:val="24"/>
        </w:rPr>
      </w:pPr>
    </w:p>
    <w:p w14:paraId="3F7A7DCB">
      <w:pPr>
        <w:spacing w:line="312" w:lineRule="auto"/>
        <w:ind w:firstLine="490"/>
        <w:rPr>
          <w:rFonts w:ascii="宋体" w:hAnsi="宋体"/>
          <w:sz w:val="24"/>
        </w:rPr>
      </w:pPr>
    </w:p>
    <w:p w14:paraId="7C65E770">
      <w:pPr>
        <w:spacing w:line="312" w:lineRule="auto"/>
        <w:ind w:firstLine="490"/>
        <w:rPr>
          <w:rFonts w:hint="eastAsia" w:ascii="宋体" w:hAnsi="宋体"/>
          <w:sz w:val="24"/>
          <w:u w:val="single"/>
        </w:rPr>
      </w:pPr>
      <w:r>
        <w:rPr>
          <w:rFonts w:hint="eastAsia" w:ascii="宋体" w:hAnsi="宋体"/>
          <w:sz w:val="24"/>
        </w:rPr>
        <w:t>投 标 人：</w:t>
      </w:r>
      <w:r>
        <w:rPr>
          <w:rFonts w:hint="eastAsia" w:ascii="宋体" w:hAnsi="宋体"/>
          <w:sz w:val="24"/>
          <w:u w:val="single"/>
        </w:rPr>
        <w:t xml:space="preserve">                           （盖章）</w:t>
      </w:r>
    </w:p>
    <w:p w14:paraId="25C9D09D">
      <w:pPr>
        <w:spacing w:line="360" w:lineRule="auto"/>
        <w:ind w:firstLine="480" w:firstLineChars="200"/>
        <w:rPr>
          <w:rFonts w:hint="eastAsia" w:ascii="宋体" w:hAnsi="宋体"/>
          <w:sz w:val="24"/>
          <w:u w:val="single"/>
        </w:rPr>
      </w:pPr>
      <w:r>
        <w:rPr>
          <w:rFonts w:hint="eastAsia" w:ascii="宋体" w:hAnsi="宋体"/>
          <w:sz w:val="24"/>
        </w:rPr>
        <w:t>单位地址：</w:t>
      </w:r>
      <w:r>
        <w:rPr>
          <w:rFonts w:hint="eastAsia" w:ascii="宋体" w:hAnsi="宋体"/>
          <w:sz w:val="24"/>
          <w:u w:val="single"/>
        </w:rPr>
        <w:t xml:space="preserve">                                    </w:t>
      </w:r>
    </w:p>
    <w:p w14:paraId="7A36DED6">
      <w:pPr>
        <w:spacing w:line="312" w:lineRule="auto"/>
        <w:ind w:firstLine="480" w:firstLineChars="200"/>
        <w:rPr>
          <w:rFonts w:hint="eastAsia" w:ascii="宋体" w:hAnsi="宋体"/>
          <w:sz w:val="24"/>
          <w:u w:val="single"/>
        </w:rPr>
      </w:pPr>
      <w:r>
        <w:rPr>
          <w:rFonts w:hint="eastAsia" w:ascii="宋体" w:hAnsi="宋体"/>
          <w:sz w:val="24"/>
        </w:rPr>
        <w:t>委托代理人：</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p>
    <w:p w14:paraId="639CF82D">
      <w:pPr>
        <w:spacing w:line="312" w:lineRule="auto"/>
        <w:ind w:firstLine="480" w:firstLineChars="200"/>
        <w:rPr>
          <w:rFonts w:ascii="宋体" w:hAnsi="宋体"/>
          <w:sz w:val="24"/>
          <w:u w:val="single"/>
        </w:rPr>
      </w:pPr>
      <w:r>
        <w:rPr>
          <w:rFonts w:hint="eastAsia" w:ascii="宋体" w:hAnsi="宋体"/>
          <w:sz w:val="24"/>
        </w:rPr>
        <w:t>邮政编码：</w:t>
      </w:r>
      <w:r>
        <w:rPr>
          <w:rFonts w:hint="eastAsia" w:ascii="宋体" w:hAnsi="宋体"/>
          <w:sz w:val="24"/>
          <w:u w:val="single"/>
        </w:rPr>
        <w:tab/>
      </w:r>
      <w:r>
        <w:rPr>
          <w:rFonts w:hint="eastAsia" w:ascii="宋体" w:hAnsi="宋体"/>
          <w:sz w:val="24"/>
          <w:u w:val="single"/>
        </w:rPr>
        <w:t xml:space="preserve">                               </w:t>
      </w:r>
    </w:p>
    <w:p w14:paraId="3D8C35EC">
      <w:pPr>
        <w:spacing w:line="312" w:lineRule="auto"/>
        <w:ind w:firstLine="480" w:firstLineChars="200"/>
        <w:rPr>
          <w:rFonts w:ascii="宋体" w:hAnsi="宋体"/>
          <w:sz w:val="24"/>
          <w:u w:val="single"/>
        </w:rPr>
      </w:pPr>
      <w:r>
        <w:rPr>
          <w:rFonts w:hint="eastAsia" w:ascii="宋体" w:hAnsi="宋体"/>
          <w:sz w:val="24"/>
        </w:rPr>
        <w:t>电话：</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p>
    <w:p w14:paraId="26AB54E2">
      <w:pPr>
        <w:spacing w:line="312" w:lineRule="auto"/>
        <w:ind w:firstLine="480" w:firstLineChars="200"/>
        <w:rPr>
          <w:rFonts w:hint="eastAsia" w:ascii="宋体" w:hAnsi="宋体"/>
          <w:sz w:val="24"/>
          <w:u w:val="single"/>
        </w:rPr>
      </w:pPr>
      <w:r>
        <w:rPr>
          <w:rFonts w:hint="eastAsia" w:ascii="宋体" w:hAnsi="宋体"/>
          <w:sz w:val="24"/>
        </w:rPr>
        <w:t>传真：</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p>
    <w:p w14:paraId="5E270910">
      <w:pPr>
        <w:spacing w:line="312" w:lineRule="auto"/>
        <w:ind w:firstLine="480" w:firstLineChars="200"/>
        <w:jc w:val="right"/>
        <w:rPr>
          <w:rFonts w:hint="eastAsia" w:ascii="宋体" w:hAnsi="宋体"/>
          <w:sz w:val="24"/>
        </w:rPr>
      </w:pPr>
    </w:p>
    <w:p w14:paraId="152F73DE">
      <w:pPr>
        <w:spacing w:line="312" w:lineRule="auto"/>
        <w:ind w:right="480"/>
        <w:rPr>
          <w:rFonts w:hint="eastAsia" w:ascii="宋体" w:hAnsi="宋体"/>
          <w:sz w:val="24"/>
        </w:rPr>
      </w:pPr>
    </w:p>
    <w:p w14:paraId="0007E7AB">
      <w:pPr>
        <w:spacing w:line="312" w:lineRule="auto"/>
        <w:ind w:right="120" w:firstLine="480" w:firstLineChars="200"/>
        <w:jc w:val="right"/>
        <w:rPr>
          <w:rFonts w:hint="eastAsia" w:ascii="宋体" w:hAnsi="宋体"/>
          <w:sz w:val="24"/>
        </w:rPr>
      </w:pPr>
    </w:p>
    <w:p w14:paraId="3F2B173F">
      <w:pPr>
        <w:wordWrap w:val="0"/>
        <w:spacing w:line="312" w:lineRule="auto"/>
        <w:ind w:right="960" w:firstLine="480" w:firstLineChars="200"/>
        <w:jc w:val="right"/>
        <w:rPr>
          <w:rFonts w:ascii="宋体" w:hAnsi="宋体"/>
          <w:sz w:val="24"/>
        </w:rPr>
      </w:pPr>
      <w:r>
        <w:rPr>
          <w:rFonts w:hint="eastAsia" w:ascii="宋体" w:hAnsi="宋体"/>
          <w:sz w:val="24"/>
        </w:rPr>
        <w:t>日期：</w:t>
      </w:r>
      <w:r>
        <w:rPr>
          <w:rFonts w:ascii="宋体" w:hAnsi="宋体"/>
          <w:sz w:val="24"/>
          <w:u w:val="single"/>
        </w:rPr>
        <w:t xml:space="preserve"> </w:t>
      </w:r>
      <w:r>
        <w:rPr>
          <w:rFonts w:hint="eastAsia" w:ascii="宋体" w:hAnsi="宋体"/>
          <w:sz w:val="24"/>
          <w:u w:val="single"/>
        </w:rPr>
        <w:t xml:space="preserve">   年     月      日</w:t>
      </w:r>
    </w:p>
    <w:p w14:paraId="6AA3D977">
      <w:pPr>
        <w:rPr>
          <w:rFonts w:hint="eastAsia"/>
          <w:b/>
          <w:sz w:val="44"/>
          <w:szCs w:val="44"/>
        </w:rPr>
      </w:pPr>
    </w:p>
    <w:p w14:paraId="478C125B">
      <w:pPr>
        <w:spacing w:line="360" w:lineRule="auto"/>
        <w:jc w:val="left"/>
        <w:rPr>
          <w:rFonts w:ascii="宋体" w:hAnsi="宋体"/>
          <w:sz w:val="28"/>
        </w:rPr>
      </w:pPr>
      <w:r>
        <w:rPr>
          <w:rFonts w:hint="eastAsia" w:ascii="宋体" w:hAnsi="宋体"/>
          <w:sz w:val="28"/>
        </w:rPr>
        <w:t>附件</w:t>
      </w:r>
      <w:r>
        <w:rPr>
          <w:rFonts w:hint="eastAsia" w:ascii="宋体" w:hAnsi="宋体"/>
          <w:sz w:val="28"/>
          <w:lang w:val="en-US" w:eastAsia="zh-CN"/>
        </w:rPr>
        <w:t>2</w:t>
      </w:r>
      <w:r>
        <w:rPr>
          <w:rFonts w:hint="eastAsia" w:ascii="宋体" w:hAnsi="宋体"/>
          <w:sz w:val="28"/>
        </w:rPr>
        <w:t>：</w:t>
      </w:r>
    </w:p>
    <w:p w14:paraId="0193ACB6">
      <w:pPr>
        <w:spacing w:line="360" w:lineRule="auto"/>
        <w:jc w:val="center"/>
        <w:rPr>
          <w:rFonts w:ascii="宋体" w:hAnsi="宋体"/>
          <w:b/>
          <w:szCs w:val="21"/>
        </w:rPr>
      </w:pPr>
      <w:r>
        <w:rPr>
          <w:rFonts w:hint="eastAsia" w:ascii="宋体" w:hAnsi="宋体"/>
          <w:b/>
          <w:szCs w:val="21"/>
        </w:rPr>
        <w:t>法定代表人资格证明书</w:t>
      </w:r>
    </w:p>
    <w:p w14:paraId="41C4AB9F">
      <w:pPr>
        <w:spacing w:line="360" w:lineRule="auto"/>
        <w:jc w:val="center"/>
        <w:rPr>
          <w:rFonts w:ascii="宋体" w:hAnsi="宋体"/>
          <w:b/>
          <w:szCs w:val="21"/>
        </w:rPr>
      </w:pPr>
    </w:p>
    <w:p w14:paraId="332AF092">
      <w:pPr>
        <w:spacing w:line="360" w:lineRule="auto"/>
        <w:jc w:val="left"/>
        <w:rPr>
          <w:rFonts w:ascii="宋体" w:hAnsi="宋体"/>
          <w:szCs w:val="21"/>
          <w:u w:val="single"/>
        </w:rPr>
      </w:pPr>
      <w:r>
        <w:rPr>
          <w:rFonts w:hint="eastAsia" w:ascii="宋体" w:hAnsi="宋体"/>
          <w:szCs w:val="21"/>
        </w:rPr>
        <w:t>报价单位名称：</w:t>
      </w:r>
      <w:r>
        <w:rPr>
          <w:rFonts w:ascii="宋体" w:hAnsi="宋体"/>
          <w:szCs w:val="21"/>
        </w:rPr>
        <w:t xml:space="preserve"> </w:t>
      </w:r>
      <w:r>
        <w:rPr>
          <w:rFonts w:hint="eastAsia" w:ascii="宋体" w:hAnsi="宋体"/>
          <w:szCs w:val="21"/>
          <w:u w:val="single"/>
        </w:rPr>
        <w:t xml:space="preserve">                                     </w:t>
      </w:r>
    </w:p>
    <w:p w14:paraId="571BC90F">
      <w:pPr>
        <w:spacing w:line="360" w:lineRule="auto"/>
        <w:ind w:left="630" w:hanging="630" w:hangingChars="300"/>
        <w:jc w:val="left"/>
        <w:rPr>
          <w:rFonts w:ascii="宋体" w:hAnsi="宋体"/>
          <w:szCs w:val="21"/>
        </w:rPr>
      </w:pPr>
      <w:r>
        <w:rPr>
          <w:rFonts w:hint="eastAsia" w:ascii="宋体" w:hAnsi="宋体"/>
          <w:szCs w:val="21"/>
        </w:rPr>
        <w:t>地址：</w:t>
      </w:r>
      <w:r>
        <w:rPr>
          <w:rFonts w:hint="eastAsia" w:ascii="宋体" w:hAnsi="宋体"/>
          <w:szCs w:val="21"/>
          <w:u w:val="single"/>
        </w:rPr>
        <w:t xml:space="preserve">                                               </w:t>
      </w:r>
      <w:r>
        <w:rPr>
          <w:rFonts w:ascii="宋体" w:hAnsi="宋体"/>
          <w:szCs w:val="21"/>
        </w:rPr>
        <w:t xml:space="preserve"> </w:t>
      </w:r>
    </w:p>
    <w:p w14:paraId="4090FFBB">
      <w:pPr>
        <w:spacing w:line="360" w:lineRule="auto"/>
        <w:jc w:val="left"/>
        <w:rPr>
          <w:rFonts w:ascii="宋体" w:hAnsi="宋体"/>
          <w:szCs w:val="21"/>
        </w:rPr>
      </w:pPr>
      <w:r>
        <w:rPr>
          <w:rFonts w:hint="eastAsia" w:ascii="宋体" w:hAnsi="宋体"/>
          <w:szCs w:val="21"/>
        </w:rPr>
        <w:t>法定代表人姓名：</w:t>
      </w:r>
      <w:r>
        <w:rPr>
          <w:rFonts w:hint="eastAsia" w:ascii="宋体" w:hAnsi="宋体"/>
          <w:szCs w:val="21"/>
          <w:u w:val="single"/>
        </w:rPr>
        <w:t xml:space="preserve">         </w:t>
      </w:r>
      <w:r>
        <w:rPr>
          <w:rFonts w:hint="eastAsia" w:ascii="宋体" w:hAnsi="宋体"/>
          <w:szCs w:val="21"/>
        </w:rPr>
        <w:t>，性别：</w:t>
      </w:r>
      <w:r>
        <w:rPr>
          <w:rFonts w:hint="eastAsia" w:ascii="宋体" w:hAnsi="宋体"/>
          <w:szCs w:val="21"/>
          <w:u w:val="single"/>
        </w:rPr>
        <w:t xml:space="preserve">     </w:t>
      </w:r>
      <w:r>
        <w:rPr>
          <w:rFonts w:hint="eastAsia" w:ascii="宋体" w:hAnsi="宋体"/>
          <w:szCs w:val="21"/>
        </w:rPr>
        <w:t xml:space="preserve"> ，年龄：</w:t>
      </w:r>
      <w:r>
        <w:rPr>
          <w:rFonts w:hint="eastAsia" w:ascii="宋体" w:hAnsi="宋体"/>
          <w:szCs w:val="21"/>
          <w:u w:val="single"/>
        </w:rPr>
        <w:t xml:space="preserve">     </w:t>
      </w:r>
      <w:r>
        <w:rPr>
          <w:rFonts w:hint="eastAsia" w:ascii="宋体" w:hAnsi="宋体"/>
          <w:szCs w:val="21"/>
        </w:rPr>
        <w:t xml:space="preserve"> ，职务：</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 xml:space="preserve"> ，为我公司法定代表人。</w:t>
      </w:r>
    </w:p>
    <w:p w14:paraId="347AFDA0">
      <w:pPr>
        <w:spacing w:line="360" w:lineRule="auto"/>
        <w:jc w:val="left"/>
        <w:rPr>
          <w:rFonts w:ascii="宋体" w:hAnsi="宋体"/>
          <w:szCs w:val="21"/>
        </w:rPr>
      </w:pPr>
      <w:r>
        <w:rPr>
          <w:rFonts w:hint="eastAsia" w:ascii="宋体" w:hAnsi="宋体"/>
          <w:szCs w:val="21"/>
        </w:rPr>
        <w:t>特此证明。</w:t>
      </w:r>
    </w:p>
    <w:p w14:paraId="00683D74">
      <w:pPr>
        <w:spacing w:line="360" w:lineRule="auto"/>
        <w:jc w:val="left"/>
        <w:rPr>
          <w:rFonts w:ascii="宋体" w:hAnsi="宋体"/>
          <w:szCs w:val="21"/>
        </w:rPr>
      </w:pPr>
    </w:p>
    <w:p w14:paraId="16ED2799">
      <w:pPr>
        <w:spacing w:line="360" w:lineRule="auto"/>
        <w:jc w:val="left"/>
        <w:rPr>
          <w:rFonts w:ascii="宋体" w:hAnsi="宋体"/>
          <w:szCs w:val="21"/>
        </w:rPr>
      </w:pPr>
      <w:r>
        <w:rPr>
          <w:rFonts w:hint="eastAsia" w:ascii="宋体" w:hAnsi="宋体"/>
          <w:szCs w:val="21"/>
        </w:rPr>
        <w:t>报价单位（盖章）：</w:t>
      </w:r>
      <w:r>
        <w:rPr>
          <w:rFonts w:hint="eastAsia" w:ascii="宋体" w:hAnsi="宋体"/>
          <w:szCs w:val="21"/>
          <w:u w:val="single"/>
        </w:rPr>
        <w:t xml:space="preserve">                            </w:t>
      </w:r>
      <w:r>
        <w:rPr>
          <w:rFonts w:hint="eastAsia" w:ascii="宋体" w:hAnsi="宋体"/>
          <w:szCs w:val="21"/>
        </w:rPr>
        <w:t xml:space="preserve">    </w:t>
      </w:r>
    </w:p>
    <w:p w14:paraId="6D1DF23E">
      <w:pPr>
        <w:spacing w:line="360" w:lineRule="auto"/>
        <w:jc w:val="left"/>
        <w:rPr>
          <w:rFonts w:ascii="宋体" w:hAnsi="宋体"/>
          <w:szCs w:val="21"/>
          <w:u w:val="single"/>
        </w:rPr>
      </w:pPr>
      <w:r>
        <w:rPr>
          <w:rFonts w:hint="eastAsia" w:ascii="宋体" w:hAnsi="宋体"/>
          <w:szCs w:val="21"/>
        </w:rPr>
        <w:t>法定代表人：（签字或盖章）</w:t>
      </w:r>
      <w:r>
        <w:rPr>
          <w:rFonts w:hint="eastAsia" w:ascii="宋体" w:hAnsi="宋体"/>
          <w:szCs w:val="21"/>
          <w:u w:val="single"/>
        </w:rPr>
        <w:t xml:space="preserve">                            </w:t>
      </w:r>
    </w:p>
    <w:p w14:paraId="6E320372">
      <w:pPr>
        <w:spacing w:line="360" w:lineRule="auto"/>
        <w:jc w:val="left"/>
        <w:rPr>
          <w:rFonts w:ascii="宋体" w:hAnsi="宋体" w:cs="Arial"/>
          <w:szCs w:val="21"/>
          <w:u w:val="single"/>
        </w:rPr>
      </w:pPr>
      <w:r>
        <w:rPr>
          <w:rFonts w:ascii="宋体" w:hAnsi="宋体" w:cs="Arial"/>
          <w:szCs w:val="21"/>
        </w:rPr>
        <w:t>日期：</w:t>
      </w:r>
      <w:r>
        <w:rPr>
          <w:rFonts w:hint="eastAsia" w:ascii="宋体" w:hAnsi="宋体" w:cs="Arial"/>
          <w:szCs w:val="21"/>
          <w:u w:val="single"/>
        </w:rPr>
        <w:t xml:space="preserve">                          </w:t>
      </w:r>
    </w:p>
    <w:p w14:paraId="2452077E">
      <w:pPr>
        <w:spacing w:line="360" w:lineRule="auto"/>
        <w:jc w:val="left"/>
        <w:rPr>
          <w:rFonts w:ascii="宋体" w:hAnsi="宋体"/>
          <w:szCs w:val="21"/>
        </w:rPr>
      </w:pPr>
      <w:r>
        <w:rPr>
          <w:rFonts w:hint="eastAsia" w:ascii="宋体" w:hAnsi="宋体"/>
          <w:szCs w:val="21"/>
        </w:rPr>
        <w:t>附法人身份证正反面照片</w:t>
      </w:r>
    </w:p>
    <w:p w14:paraId="79B2C1EF">
      <w:pPr>
        <w:spacing w:line="360" w:lineRule="auto"/>
        <w:jc w:val="left"/>
        <w:rPr>
          <w:rFonts w:ascii="宋体" w:hAnsi="宋体"/>
          <w:szCs w:val="21"/>
        </w:rPr>
      </w:pPr>
    </w:p>
    <w:p w14:paraId="5AF716D8">
      <w:pPr>
        <w:spacing w:line="360" w:lineRule="auto"/>
        <w:jc w:val="left"/>
        <w:rPr>
          <w:rFonts w:ascii="宋体" w:hAnsi="宋体"/>
          <w:sz w:val="28"/>
        </w:rPr>
      </w:pPr>
    </w:p>
    <w:p w14:paraId="53066990">
      <w:pPr>
        <w:spacing w:line="360" w:lineRule="auto"/>
        <w:jc w:val="left"/>
        <w:rPr>
          <w:rFonts w:ascii="宋体" w:hAnsi="宋体"/>
          <w:sz w:val="28"/>
        </w:rPr>
      </w:pPr>
    </w:p>
    <w:p w14:paraId="7446760E">
      <w:pPr>
        <w:spacing w:line="360" w:lineRule="auto"/>
        <w:jc w:val="left"/>
        <w:rPr>
          <w:rFonts w:ascii="宋体" w:hAnsi="宋体"/>
          <w:sz w:val="28"/>
        </w:rPr>
      </w:pPr>
    </w:p>
    <w:p w14:paraId="4BDE70F8">
      <w:pPr>
        <w:spacing w:line="360" w:lineRule="auto"/>
        <w:jc w:val="left"/>
        <w:rPr>
          <w:rFonts w:ascii="宋体" w:hAnsi="宋体"/>
          <w:sz w:val="28"/>
        </w:rPr>
      </w:pPr>
    </w:p>
    <w:p w14:paraId="0B32FE57">
      <w:pPr>
        <w:spacing w:line="360" w:lineRule="auto"/>
        <w:jc w:val="left"/>
        <w:rPr>
          <w:rFonts w:ascii="宋体" w:hAnsi="宋体"/>
          <w:sz w:val="28"/>
        </w:rPr>
      </w:pPr>
    </w:p>
    <w:p w14:paraId="2DF933C4">
      <w:pPr>
        <w:spacing w:line="360" w:lineRule="auto"/>
        <w:jc w:val="left"/>
        <w:rPr>
          <w:rFonts w:ascii="宋体" w:hAnsi="宋体"/>
          <w:sz w:val="28"/>
        </w:rPr>
      </w:pPr>
    </w:p>
    <w:p w14:paraId="71FAFCE4">
      <w:pPr>
        <w:spacing w:line="360" w:lineRule="auto"/>
        <w:jc w:val="left"/>
        <w:rPr>
          <w:rFonts w:ascii="宋体" w:hAnsi="宋体"/>
          <w:sz w:val="28"/>
        </w:rPr>
      </w:pPr>
    </w:p>
    <w:p w14:paraId="308175A3">
      <w:pPr>
        <w:spacing w:line="360" w:lineRule="auto"/>
        <w:jc w:val="left"/>
        <w:rPr>
          <w:rFonts w:ascii="宋体" w:hAnsi="宋体"/>
          <w:sz w:val="28"/>
        </w:rPr>
      </w:pPr>
    </w:p>
    <w:p w14:paraId="28EE3E1D">
      <w:pPr>
        <w:spacing w:line="360" w:lineRule="auto"/>
        <w:jc w:val="left"/>
        <w:rPr>
          <w:rFonts w:ascii="宋体" w:hAnsi="宋体"/>
          <w:sz w:val="28"/>
        </w:rPr>
      </w:pPr>
    </w:p>
    <w:p w14:paraId="2F34F885">
      <w:pPr>
        <w:spacing w:line="360" w:lineRule="auto"/>
        <w:jc w:val="left"/>
        <w:rPr>
          <w:rFonts w:ascii="宋体" w:hAnsi="宋体"/>
          <w:sz w:val="28"/>
        </w:rPr>
      </w:pPr>
    </w:p>
    <w:p w14:paraId="169EAF80">
      <w:pPr>
        <w:spacing w:line="360" w:lineRule="auto"/>
        <w:jc w:val="left"/>
        <w:rPr>
          <w:rFonts w:ascii="宋体" w:hAnsi="宋体"/>
          <w:sz w:val="28"/>
        </w:rPr>
      </w:pPr>
    </w:p>
    <w:p w14:paraId="39820980">
      <w:pPr>
        <w:spacing w:line="360" w:lineRule="auto"/>
        <w:jc w:val="left"/>
        <w:rPr>
          <w:rFonts w:ascii="宋体" w:hAnsi="宋体"/>
          <w:sz w:val="28"/>
        </w:rPr>
      </w:pPr>
      <w:r>
        <w:rPr>
          <w:rFonts w:hint="eastAsia" w:ascii="宋体" w:hAnsi="宋体"/>
          <w:sz w:val="28"/>
        </w:rPr>
        <w:t>附件</w:t>
      </w:r>
      <w:r>
        <w:rPr>
          <w:rFonts w:hint="eastAsia" w:ascii="宋体" w:hAnsi="宋体"/>
          <w:sz w:val="28"/>
          <w:lang w:val="en-US" w:eastAsia="zh-CN"/>
        </w:rPr>
        <w:t>3</w:t>
      </w:r>
      <w:r>
        <w:rPr>
          <w:rFonts w:hint="eastAsia" w:ascii="宋体" w:hAnsi="宋体"/>
          <w:sz w:val="28"/>
        </w:rPr>
        <w:t>：</w:t>
      </w:r>
    </w:p>
    <w:p w14:paraId="22B3BB16">
      <w:pPr>
        <w:spacing w:line="360" w:lineRule="auto"/>
        <w:jc w:val="center"/>
        <w:rPr>
          <w:rFonts w:ascii="宋体" w:hAnsi="宋体"/>
          <w:b/>
          <w:szCs w:val="21"/>
        </w:rPr>
      </w:pPr>
      <w:r>
        <w:rPr>
          <w:rFonts w:hint="eastAsia" w:ascii="宋体" w:hAnsi="宋体"/>
          <w:b/>
          <w:szCs w:val="21"/>
        </w:rPr>
        <w:t>法定代表授权委托书</w:t>
      </w:r>
    </w:p>
    <w:p w14:paraId="60059001">
      <w:pPr>
        <w:spacing w:line="360" w:lineRule="auto"/>
        <w:ind w:firstLine="420" w:firstLineChars="200"/>
        <w:rPr>
          <w:rFonts w:ascii="宋体" w:hAnsi="宋体"/>
          <w:szCs w:val="21"/>
          <w:u w:val="single"/>
        </w:rPr>
      </w:pPr>
      <w:r>
        <w:rPr>
          <w:rFonts w:hint="eastAsia" w:ascii="宋体" w:hAnsi="宋体" w:cs="宋体"/>
          <w:szCs w:val="21"/>
        </w:rPr>
        <w:t>致：</w:t>
      </w:r>
      <w:r>
        <w:rPr>
          <w:rFonts w:hint="eastAsia" w:ascii="宋体" w:hAnsi="宋体"/>
          <w:szCs w:val="21"/>
          <w:u w:val="single"/>
        </w:rPr>
        <w:t>天津市管道工程集团有限公司第八分公司</w:t>
      </w:r>
    </w:p>
    <w:p w14:paraId="1E46204B">
      <w:pPr>
        <w:spacing w:line="360" w:lineRule="auto"/>
        <w:ind w:firstLine="420" w:firstLineChars="200"/>
        <w:rPr>
          <w:rFonts w:ascii="宋体" w:hAnsi="宋体" w:cs="宋体"/>
          <w:szCs w:val="21"/>
          <w:u w:val="single"/>
        </w:rPr>
      </w:pPr>
    </w:p>
    <w:p w14:paraId="5E9F36B1">
      <w:pPr>
        <w:spacing w:line="360" w:lineRule="auto"/>
        <w:jc w:val="left"/>
        <w:rPr>
          <w:rFonts w:ascii="宋体" w:hAnsi="宋体"/>
          <w:szCs w:val="21"/>
        </w:rPr>
      </w:pPr>
      <w:r>
        <w:rPr>
          <w:rFonts w:hint="eastAsia" w:ascii="宋体" w:hAnsi="宋体"/>
          <w:szCs w:val="21"/>
        </w:rPr>
        <w:t>本授权书声明：注册于</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 xml:space="preserve">（国家或地区）的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（报价单位名称）的</w:t>
      </w:r>
      <w:r>
        <w:rPr>
          <w:rFonts w:hint="eastAsia" w:ascii="宋体" w:hAnsi="宋体"/>
          <w:szCs w:val="21"/>
          <w:u w:val="single"/>
        </w:rPr>
        <w:t xml:space="preserve">            </w:t>
      </w:r>
      <w:r>
        <w:rPr>
          <w:rFonts w:hint="eastAsia" w:ascii="宋体" w:hAnsi="宋体"/>
          <w:szCs w:val="21"/>
        </w:rPr>
        <w:t>（法人代表姓名、职务）代表本公司授权</w:t>
      </w:r>
      <w:r>
        <w:rPr>
          <w:rFonts w:hint="eastAsia" w:ascii="宋体" w:hAnsi="宋体"/>
          <w:szCs w:val="21"/>
          <w:u w:val="single"/>
        </w:rPr>
        <w:t xml:space="preserve">            </w:t>
      </w:r>
      <w:r>
        <w:rPr>
          <w:rFonts w:hint="eastAsia" w:ascii="宋体" w:hAnsi="宋体"/>
          <w:szCs w:val="21"/>
        </w:rPr>
        <w:t>（被授权人的姓名、职务）为本公司合法代表人，就</w:t>
      </w:r>
      <w:r>
        <w:rPr>
          <w:rFonts w:hint="eastAsia" w:ascii="宋体" w:hAnsi="宋体"/>
          <w:b/>
          <w:szCs w:val="21"/>
          <w:u w:val="single"/>
        </w:rPr>
        <w:t xml:space="preserve">                </w:t>
      </w:r>
      <w:r>
        <w:rPr>
          <w:rFonts w:hint="eastAsia" w:ascii="宋体" w:hAnsi="宋体"/>
          <w:szCs w:val="21"/>
        </w:rPr>
        <w:t>的报价和合同执行，以我方的名义处理一切与之有关的事宜。</w:t>
      </w:r>
    </w:p>
    <w:p w14:paraId="29F0FEA3">
      <w:pPr>
        <w:spacing w:line="360" w:lineRule="auto"/>
        <w:jc w:val="left"/>
        <w:rPr>
          <w:rFonts w:ascii="宋体" w:hAnsi="宋体"/>
          <w:szCs w:val="21"/>
        </w:rPr>
      </w:pPr>
    </w:p>
    <w:p w14:paraId="61A5C0A4">
      <w:pPr>
        <w:spacing w:line="360" w:lineRule="auto"/>
        <w:jc w:val="left"/>
        <w:rPr>
          <w:rFonts w:ascii="宋体" w:hAnsi="宋体"/>
          <w:szCs w:val="21"/>
          <w:u w:val="single"/>
        </w:rPr>
      </w:pPr>
      <w:r>
        <w:rPr>
          <w:rFonts w:hint="eastAsia" w:ascii="宋体" w:hAnsi="宋体"/>
          <w:szCs w:val="21"/>
        </w:rPr>
        <w:t xml:space="preserve">报价单位（盖章）： </w:t>
      </w:r>
      <w:r>
        <w:rPr>
          <w:rFonts w:hint="eastAsia" w:ascii="宋体" w:hAnsi="宋体"/>
          <w:szCs w:val="21"/>
          <w:u w:val="single"/>
        </w:rPr>
        <w:t xml:space="preserve">                             </w:t>
      </w:r>
    </w:p>
    <w:p w14:paraId="4308FC8C">
      <w:pPr>
        <w:spacing w:line="360" w:lineRule="auto"/>
        <w:jc w:val="left"/>
        <w:rPr>
          <w:rFonts w:ascii="宋体" w:hAnsi="宋体"/>
          <w:szCs w:val="21"/>
          <w:u w:val="single"/>
        </w:rPr>
      </w:pPr>
      <w:r>
        <w:rPr>
          <w:rFonts w:hint="eastAsia" w:ascii="宋体" w:hAnsi="宋体"/>
          <w:szCs w:val="21"/>
        </w:rPr>
        <w:t>法定代表人：（签字）</w:t>
      </w:r>
      <w:r>
        <w:rPr>
          <w:rFonts w:hint="eastAsia" w:ascii="宋体" w:hAnsi="宋体"/>
          <w:szCs w:val="21"/>
          <w:u w:val="single"/>
        </w:rPr>
        <w:t xml:space="preserve">                         </w:t>
      </w:r>
    </w:p>
    <w:p w14:paraId="3CA189EF">
      <w:pPr>
        <w:spacing w:line="360" w:lineRule="auto"/>
        <w:jc w:val="left"/>
        <w:rPr>
          <w:rFonts w:ascii="宋体" w:hAnsi="宋体"/>
          <w:szCs w:val="21"/>
          <w:u w:val="single"/>
        </w:rPr>
      </w:pPr>
      <w:r>
        <w:rPr>
          <w:rFonts w:hint="eastAsia" w:ascii="宋体" w:hAnsi="宋体"/>
          <w:szCs w:val="21"/>
        </w:rPr>
        <w:t>职务：</w:t>
      </w:r>
      <w:r>
        <w:rPr>
          <w:rFonts w:hint="eastAsia" w:ascii="宋体" w:hAnsi="宋体"/>
          <w:szCs w:val="21"/>
          <w:u w:val="single"/>
        </w:rPr>
        <w:t xml:space="preserve">                            </w:t>
      </w:r>
    </w:p>
    <w:p w14:paraId="2599B7F8">
      <w:pPr>
        <w:spacing w:line="360" w:lineRule="auto"/>
        <w:jc w:val="left"/>
        <w:rPr>
          <w:rFonts w:ascii="宋体" w:hAnsi="宋体"/>
          <w:szCs w:val="21"/>
          <w:u w:val="single"/>
        </w:rPr>
      </w:pPr>
      <w:r>
        <w:rPr>
          <w:rFonts w:hint="eastAsia" w:ascii="宋体" w:hAnsi="宋体"/>
          <w:szCs w:val="21"/>
        </w:rPr>
        <w:t>被授权人：（签字）</w:t>
      </w:r>
      <w:r>
        <w:rPr>
          <w:rFonts w:hint="eastAsia" w:ascii="宋体" w:hAnsi="宋体"/>
          <w:szCs w:val="21"/>
          <w:u w:val="single"/>
        </w:rPr>
        <w:t xml:space="preserve">                             </w:t>
      </w:r>
    </w:p>
    <w:p w14:paraId="3145BC72">
      <w:pPr>
        <w:spacing w:line="360" w:lineRule="auto"/>
        <w:jc w:val="left"/>
        <w:rPr>
          <w:rFonts w:ascii="宋体" w:hAnsi="宋体"/>
          <w:szCs w:val="21"/>
        </w:rPr>
      </w:pPr>
      <w:r>
        <w:rPr>
          <w:rFonts w:hint="eastAsia" w:ascii="宋体" w:hAnsi="宋体"/>
          <w:szCs w:val="21"/>
        </w:rPr>
        <w:t>职务：</w:t>
      </w:r>
      <w:r>
        <w:rPr>
          <w:rFonts w:hint="eastAsia" w:ascii="宋体" w:hAnsi="宋体"/>
          <w:szCs w:val="21"/>
          <w:u w:val="single"/>
        </w:rPr>
        <w:t xml:space="preserve">                              </w:t>
      </w:r>
    </w:p>
    <w:p w14:paraId="5DDBA24D">
      <w:pPr>
        <w:spacing w:line="360" w:lineRule="auto"/>
        <w:jc w:val="left"/>
        <w:rPr>
          <w:rFonts w:ascii="宋体" w:hAnsi="宋体" w:cs="Arial"/>
          <w:szCs w:val="21"/>
          <w:u w:val="single"/>
        </w:rPr>
      </w:pPr>
      <w:r>
        <w:rPr>
          <w:rFonts w:ascii="宋体" w:hAnsi="宋体" w:cs="Arial"/>
          <w:szCs w:val="21"/>
        </w:rPr>
        <w:t>日期：</w:t>
      </w:r>
      <w:r>
        <w:rPr>
          <w:rFonts w:hint="eastAsia" w:ascii="宋体" w:hAnsi="宋体" w:cs="Arial"/>
          <w:szCs w:val="21"/>
          <w:u w:val="single"/>
        </w:rPr>
        <w:t xml:space="preserve">                              </w:t>
      </w:r>
    </w:p>
    <w:p w14:paraId="2D4B8949">
      <w:pPr>
        <w:spacing w:line="360" w:lineRule="auto"/>
        <w:jc w:val="left"/>
        <w:rPr>
          <w:rFonts w:ascii="宋体" w:hAnsi="宋体"/>
          <w:szCs w:val="21"/>
        </w:rPr>
      </w:pPr>
      <w:r>
        <w:rPr>
          <w:rFonts w:hint="eastAsia" w:ascii="宋体" w:hAnsi="宋体"/>
          <w:szCs w:val="21"/>
        </w:rPr>
        <w:t>附被授权人身份证正反面照片</w:t>
      </w:r>
    </w:p>
    <w:p w14:paraId="681657AC">
      <w:pPr>
        <w:spacing w:line="360" w:lineRule="auto"/>
        <w:jc w:val="left"/>
        <w:rPr>
          <w:rFonts w:ascii="宋体" w:hAnsi="宋体"/>
          <w:sz w:val="28"/>
        </w:rPr>
      </w:pPr>
    </w:p>
    <w:p w14:paraId="4CB6D6D2">
      <w:pPr>
        <w:spacing w:line="360" w:lineRule="auto"/>
        <w:jc w:val="left"/>
        <w:rPr>
          <w:rFonts w:ascii="宋体" w:hAnsi="宋体"/>
          <w:szCs w:val="21"/>
        </w:rPr>
      </w:pPr>
    </w:p>
    <w:p w14:paraId="19B7030D">
      <w:pPr>
        <w:spacing w:line="360" w:lineRule="auto"/>
        <w:jc w:val="left"/>
        <w:rPr>
          <w:rFonts w:ascii="宋体" w:hAnsi="宋体"/>
          <w:szCs w:val="21"/>
        </w:rPr>
      </w:pPr>
    </w:p>
    <w:p w14:paraId="3FAF3542">
      <w:pPr>
        <w:spacing w:line="360" w:lineRule="auto"/>
        <w:jc w:val="left"/>
        <w:rPr>
          <w:rFonts w:ascii="宋体" w:hAnsi="宋体"/>
          <w:szCs w:val="21"/>
        </w:rPr>
      </w:pPr>
    </w:p>
    <w:p w14:paraId="62B5D2BD">
      <w:pPr>
        <w:spacing w:line="360" w:lineRule="auto"/>
        <w:jc w:val="left"/>
        <w:rPr>
          <w:rFonts w:ascii="宋体" w:hAnsi="宋体"/>
          <w:szCs w:val="21"/>
        </w:rPr>
      </w:pPr>
    </w:p>
    <w:p w14:paraId="22820874">
      <w:pPr>
        <w:spacing w:line="360" w:lineRule="auto"/>
        <w:jc w:val="left"/>
        <w:rPr>
          <w:rFonts w:ascii="宋体" w:hAnsi="宋体"/>
          <w:szCs w:val="21"/>
        </w:rPr>
      </w:pPr>
    </w:p>
    <w:p w14:paraId="190015ED">
      <w:pPr>
        <w:spacing w:line="360" w:lineRule="auto"/>
        <w:jc w:val="left"/>
        <w:rPr>
          <w:rFonts w:ascii="宋体" w:hAnsi="宋体"/>
          <w:szCs w:val="21"/>
        </w:rPr>
      </w:pPr>
    </w:p>
    <w:p w14:paraId="19E51530">
      <w:pPr>
        <w:spacing w:line="360" w:lineRule="auto"/>
        <w:jc w:val="left"/>
        <w:rPr>
          <w:rFonts w:ascii="宋体" w:hAnsi="宋体"/>
          <w:szCs w:val="21"/>
        </w:rPr>
      </w:pPr>
    </w:p>
    <w:p w14:paraId="64848DAE">
      <w:pPr>
        <w:spacing w:line="360" w:lineRule="auto"/>
        <w:jc w:val="left"/>
        <w:rPr>
          <w:rFonts w:ascii="宋体" w:hAnsi="宋体"/>
          <w:szCs w:val="21"/>
        </w:rPr>
      </w:pPr>
    </w:p>
    <w:p w14:paraId="6F4D3EA1">
      <w:pPr>
        <w:spacing w:line="360" w:lineRule="auto"/>
        <w:jc w:val="left"/>
        <w:rPr>
          <w:rFonts w:ascii="宋体" w:hAnsi="宋体"/>
          <w:szCs w:val="21"/>
        </w:rPr>
      </w:pPr>
    </w:p>
    <w:p w14:paraId="79D542D2">
      <w:pPr>
        <w:spacing w:line="360" w:lineRule="auto"/>
        <w:jc w:val="left"/>
        <w:rPr>
          <w:rFonts w:ascii="宋体" w:hAnsi="宋体"/>
          <w:szCs w:val="21"/>
        </w:rPr>
      </w:pPr>
    </w:p>
    <w:p w14:paraId="66E37BB9">
      <w:pPr>
        <w:spacing w:line="360" w:lineRule="auto"/>
        <w:jc w:val="left"/>
        <w:rPr>
          <w:rFonts w:ascii="宋体" w:hAnsi="宋体"/>
          <w:szCs w:val="21"/>
        </w:rPr>
      </w:pPr>
    </w:p>
    <w:p w14:paraId="410FD75A">
      <w:pPr>
        <w:pStyle w:val="15"/>
        <w:ind w:firstLine="0"/>
        <w:rPr>
          <w:rFonts w:ascii="仿宋_GB2312" w:hAnsi="仿宋_GB2312" w:eastAsia="仿宋_GB2312" w:cs="仿宋_GB2312"/>
          <w:color w:val="000000"/>
          <w:sz w:val="32"/>
          <w:szCs w:val="32"/>
          <w:shd w:val="clear" w:color="auto" w:fill="FFFFFF"/>
        </w:rPr>
      </w:pPr>
    </w:p>
    <w:p w14:paraId="7B892CB6">
      <w:pPr>
        <w:spacing w:line="360" w:lineRule="auto"/>
        <w:rPr>
          <w:rFonts w:hint="eastAsia" w:ascii="宋体" w:hAnsi="宋体"/>
          <w:sz w:val="28"/>
        </w:rPr>
      </w:pPr>
    </w:p>
    <w:p w14:paraId="4B4A8557">
      <w:pPr>
        <w:spacing w:line="360" w:lineRule="auto"/>
        <w:rPr>
          <w:rFonts w:ascii="宋体" w:hAnsi="宋体"/>
          <w:b/>
          <w:szCs w:val="21"/>
        </w:rPr>
      </w:pPr>
      <w:r>
        <w:rPr>
          <w:rFonts w:hint="eastAsia" w:ascii="宋体" w:hAnsi="宋体"/>
          <w:sz w:val="28"/>
        </w:rPr>
        <w:t>附件</w:t>
      </w:r>
      <w:r>
        <w:rPr>
          <w:rFonts w:hint="eastAsia" w:ascii="宋体" w:hAnsi="宋体"/>
          <w:sz w:val="28"/>
          <w:lang w:val="en-US" w:eastAsia="zh-CN"/>
        </w:rPr>
        <w:t>4</w:t>
      </w:r>
      <w:r>
        <w:rPr>
          <w:rFonts w:hint="eastAsia" w:ascii="宋体" w:hAnsi="宋体"/>
          <w:sz w:val="28"/>
        </w:rPr>
        <w:t>：</w:t>
      </w:r>
    </w:p>
    <w:p w14:paraId="75CBF2E8">
      <w:pPr>
        <w:spacing w:line="360" w:lineRule="auto"/>
        <w:jc w:val="center"/>
        <w:rPr>
          <w:rFonts w:hint="eastAsia" w:ascii="宋体" w:hAnsi="宋体" w:eastAsiaTheme="minorEastAsia"/>
          <w:b/>
          <w:szCs w:val="21"/>
          <w:lang w:eastAsia="zh-CN"/>
        </w:rPr>
      </w:pPr>
      <w:r>
        <w:rPr>
          <w:rFonts w:hint="eastAsia" w:ascii="宋体" w:hAnsi="宋体"/>
          <w:b/>
          <w:szCs w:val="21"/>
        </w:rPr>
        <w:t>报</w:t>
      </w:r>
      <w:r>
        <w:rPr>
          <w:rFonts w:hint="eastAsia" w:ascii="宋体" w:hAnsi="宋体"/>
          <w:b/>
          <w:szCs w:val="21"/>
          <w:lang w:val="en-US" w:eastAsia="zh-CN"/>
        </w:rPr>
        <w:t xml:space="preserve"> </w:t>
      </w:r>
      <w:r>
        <w:rPr>
          <w:rFonts w:hint="eastAsia" w:ascii="宋体" w:hAnsi="宋体"/>
          <w:b/>
          <w:szCs w:val="21"/>
        </w:rPr>
        <w:t>价</w:t>
      </w:r>
      <w:r>
        <w:rPr>
          <w:rFonts w:hint="eastAsia" w:ascii="宋体" w:hAnsi="宋体"/>
          <w:b/>
          <w:szCs w:val="21"/>
          <w:lang w:val="en-US" w:eastAsia="zh-CN"/>
        </w:rPr>
        <w:t xml:space="preserve"> </w:t>
      </w:r>
      <w:r>
        <w:rPr>
          <w:rFonts w:hint="eastAsia" w:ascii="宋体" w:hAnsi="宋体"/>
          <w:b/>
          <w:szCs w:val="21"/>
          <w:lang w:eastAsia="zh-CN"/>
        </w:rPr>
        <w:t>单</w:t>
      </w:r>
    </w:p>
    <w:p w14:paraId="25583C65">
      <w:pPr>
        <w:pStyle w:val="15"/>
        <w:ind w:firstLine="0"/>
        <w:rPr>
          <w:sz w:val="21"/>
          <w:szCs w:val="21"/>
        </w:rPr>
      </w:pPr>
      <w:r>
        <w:rPr>
          <w:rFonts w:hint="eastAsia" w:ascii="宋体" w:hAnsi="宋体"/>
          <w:b/>
          <w:sz w:val="21"/>
          <w:szCs w:val="21"/>
        </w:rPr>
        <w:t>项目名称：</w:t>
      </w:r>
    </w:p>
    <w:tbl>
      <w:tblPr>
        <w:tblStyle w:val="12"/>
        <w:tblpPr w:leftFromText="180" w:rightFromText="180" w:vertAnchor="text" w:horzAnchor="margin" w:tblpXSpec="center" w:tblpY="164"/>
        <w:tblW w:w="9322" w:type="dxa"/>
        <w:tblInd w:w="0" w:type="dxa"/>
        <w:tblLayout w:type="fixed"/>
        <w:tblCellMar>
          <w:top w:w="0" w:type="dxa"/>
          <w:left w:w="108" w:type="dxa"/>
          <w:bottom w:w="0" w:type="dxa"/>
          <w:right w:w="108" w:type="dxa"/>
        </w:tblCellMar>
      </w:tblPr>
      <w:tblGrid>
        <w:gridCol w:w="590"/>
        <w:gridCol w:w="1617"/>
        <w:gridCol w:w="2205"/>
        <w:gridCol w:w="1005"/>
        <w:gridCol w:w="780"/>
        <w:gridCol w:w="1155"/>
        <w:gridCol w:w="1080"/>
        <w:gridCol w:w="890"/>
      </w:tblGrid>
      <w:tr w14:paraId="4C8FC010">
        <w:tblPrEx>
          <w:tblCellMar>
            <w:top w:w="0" w:type="dxa"/>
            <w:left w:w="108" w:type="dxa"/>
            <w:bottom w:w="0" w:type="dxa"/>
            <w:right w:w="108" w:type="dxa"/>
          </w:tblCellMar>
        </w:tblPrEx>
        <w:trPr>
          <w:trHeight w:val="821" w:hRule="atLeast"/>
        </w:trPr>
        <w:tc>
          <w:tcPr>
            <w:tcW w:w="590" w:type="dxa"/>
            <w:tcBorders>
              <w:top w:val="single" w:color="000000" w:sz="8" w:space="0"/>
              <w:left w:val="single" w:color="000000" w:sz="8" w:space="0"/>
              <w:bottom w:val="single" w:color="000000" w:sz="8" w:space="0"/>
              <w:right w:val="single" w:color="000000" w:sz="8" w:space="0"/>
            </w:tcBorders>
            <w:vAlign w:val="center"/>
          </w:tcPr>
          <w:p w14:paraId="4511C4C9">
            <w:pPr>
              <w:jc w:val="center"/>
              <w:rPr>
                <w:rFonts w:ascii="宋体" w:hAnsi="宋体" w:eastAsia="宋体" w:cs="宋体"/>
                <w:szCs w:val="21"/>
              </w:rPr>
            </w:pPr>
            <w:r>
              <w:rPr>
                <w:rFonts w:hint="eastAsia" w:ascii="宋体" w:hAnsi="宋体" w:eastAsia="宋体" w:cs="宋体"/>
                <w:szCs w:val="21"/>
              </w:rPr>
              <w:t>序号</w:t>
            </w:r>
          </w:p>
        </w:tc>
        <w:tc>
          <w:tcPr>
            <w:tcW w:w="1617" w:type="dxa"/>
            <w:tcBorders>
              <w:top w:val="single" w:color="000000" w:sz="8" w:space="0"/>
              <w:left w:val="nil"/>
              <w:bottom w:val="single" w:color="000000" w:sz="8" w:space="0"/>
              <w:right w:val="single" w:color="000000" w:sz="8" w:space="0"/>
            </w:tcBorders>
            <w:vAlign w:val="center"/>
          </w:tcPr>
          <w:p w14:paraId="55B7218B">
            <w:pPr>
              <w:jc w:val="center"/>
              <w:rPr>
                <w:rFonts w:ascii="宋体" w:hAnsi="宋体" w:eastAsia="宋体" w:cs="宋体"/>
                <w:szCs w:val="21"/>
              </w:rPr>
            </w:pPr>
            <w:r>
              <w:rPr>
                <w:rFonts w:hint="eastAsia" w:ascii="宋体" w:hAnsi="宋体" w:eastAsia="宋体" w:cs="宋体"/>
                <w:szCs w:val="21"/>
              </w:rPr>
              <w:t>产品名称</w:t>
            </w:r>
          </w:p>
        </w:tc>
        <w:tc>
          <w:tcPr>
            <w:tcW w:w="2205" w:type="dxa"/>
            <w:tcBorders>
              <w:top w:val="single" w:color="000000" w:sz="8" w:space="0"/>
              <w:left w:val="nil"/>
              <w:bottom w:val="single" w:color="000000" w:sz="8" w:space="0"/>
              <w:right w:val="single" w:color="000000" w:sz="8" w:space="0"/>
            </w:tcBorders>
            <w:vAlign w:val="center"/>
          </w:tcPr>
          <w:p w14:paraId="6D8EB91F">
            <w:pPr>
              <w:jc w:val="center"/>
              <w:rPr>
                <w:rFonts w:ascii="宋体" w:hAnsi="宋体" w:eastAsia="宋体" w:cs="宋体"/>
                <w:szCs w:val="21"/>
              </w:rPr>
            </w:pPr>
            <w:r>
              <w:rPr>
                <w:rFonts w:hint="eastAsia" w:ascii="宋体" w:hAnsi="宋体" w:eastAsia="宋体" w:cs="宋体"/>
                <w:szCs w:val="21"/>
              </w:rPr>
              <w:t>规格型号</w:t>
            </w:r>
          </w:p>
        </w:tc>
        <w:tc>
          <w:tcPr>
            <w:tcW w:w="1005" w:type="dxa"/>
            <w:tcBorders>
              <w:top w:val="single" w:color="000000" w:sz="8" w:space="0"/>
              <w:left w:val="nil"/>
              <w:bottom w:val="single" w:color="000000" w:sz="8" w:space="0"/>
              <w:right w:val="single" w:color="000000" w:sz="8" w:space="0"/>
            </w:tcBorders>
            <w:vAlign w:val="center"/>
          </w:tcPr>
          <w:p w14:paraId="1760BC1F">
            <w:pPr>
              <w:jc w:val="center"/>
              <w:rPr>
                <w:rFonts w:ascii="宋体" w:hAnsi="宋体" w:eastAsia="宋体" w:cs="宋体"/>
                <w:szCs w:val="21"/>
              </w:rPr>
            </w:pPr>
            <w:r>
              <w:rPr>
                <w:rFonts w:hint="eastAsia" w:ascii="宋体" w:hAnsi="宋体" w:eastAsia="宋体" w:cs="宋体"/>
                <w:szCs w:val="21"/>
              </w:rPr>
              <w:t>数量</w:t>
            </w:r>
          </w:p>
        </w:tc>
        <w:tc>
          <w:tcPr>
            <w:tcW w:w="780" w:type="dxa"/>
            <w:tcBorders>
              <w:top w:val="single" w:color="000000" w:sz="8" w:space="0"/>
              <w:left w:val="nil"/>
              <w:bottom w:val="single" w:color="000000" w:sz="8" w:space="0"/>
              <w:right w:val="single" w:color="000000" w:sz="8" w:space="0"/>
            </w:tcBorders>
            <w:vAlign w:val="center"/>
          </w:tcPr>
          <w:p w14:paraId="751DAD47">
            <w:pPr>
              <w:jc w:val="center"/>
              <w:rPr>
                <w:rFonts w:ascii="宋体" w:hAnsi="宋体" w:eastAsia="宋体" w:cs="宋体"/>
                <w:szCs w:val="21"/>
              </w:rPr>
            </w:pPr>
            <w:r>
              <w:rPr>
                <w:rFonts w:hint="eastAsia" w:ascii="宋体" w:hAnsi="宋体" w:eastAsia="宋体" w:cs="宋体"/>
                <w:szCs w:val="21"/>
              </w:rPr>
              <w:t>单位</w:t>
            </w:r>
          </w:p>
        </w:tc>
        <w:tc>
          <w:tcPr>
            <w:tcW w:w="1155" w:type="dxa"/>
            <w:tcBorders>
              <w:top w:val="single" w:color="000000" w:sz="8" w:space="0"/>
              <w:left w:val="nil"/>
              <w:bottom w:val="single" w:color="000000" w:sz="8" w:space="0"/>
              <w:right w:val="single" w:color="000000" w:sz="8" w:space="0"/>
            </w:tcBorders>
            <w:vAlign w:val="center"/>
          </w:tcPr>
          <w:p w14:paraId="0E8D6998">
            <w:pPr>
              <w:jc w:val="center"/>
              <w:rPr>
                <w:rFonts w:ascii="宋体" w:hAnsi="宋体" w:eastAsia="宋体" w:cs="宋体"/>
                <w:szCs w:val="21"/>
              </w:rPr>
            </w:pPr>
            <w:r>
              <w:rPr>
                <w:rFonts w:hint="eastAsia" w:ascii="宋体" w:hAnsi="宋体" w:eastAsia="宋体" w:cs="宋体"/>
                <w:szCs w:val="21"/>
              </w:rPr>
              <w:t>单价（元）</w:t>
            </w:r>
          </w:p>
        </w:tc>
        <w:tc>
          <w:tcPr>
            <w:tcW w:w="1080" w:type="dxa"/>
            <w:tcBorders>
              <w:top w:val="single" w:color="000000" w:sz="8" w:space="0"/>
              <w:left w:val="nil"/>
              <w:bottom w:val="single" w:color="000000" w:sz="8" w:space="0"/>
              <w:right w:val="single" w:color="000000" w:sz="8" w:space="0"/>
            </w:tcBorders>
            <w:vAlign w:val="center"/>
          </w:tcPr>
          <w:p w14:paraId="621895CD">
            <w:pPr>
              <w:jc w:val="center"/>
              <w:rPr>
                <w:rFonts w:ascii="宋体" w:hAnsi="宋体" w:eastAsia="宋体" w:cs="宋体"/>
                <w:szCs w:val="21"/>
              </w:rPr>
            </w:pPr>
            <w:r>
              <w:rPr>
                <w:rFonts w:hint="eastAsia" w:ascii="宋体" w:hAnsi="宋体" w:eastAsia="宋体" w:cs="宋体"/>
                <w:szCs w:val="21"/>
              </w:rPr>
              <w:t>合价（元）</w:t>
            </w:r>
          </w:p>
        </w:tc>
        <w:tc>
          <w:tcPr>
            <w:tcW w:w="890" w:type="dxa"/>
            <w:tcBorders>
              <w:top w:val="single" w:color="000000" w:sz="8" w:space="0"/>
              <w:left w:val="nil"/>
              <w:bottom w:val="single" w:color="000000" w:sz="8" w:space="0"/>
              <w:right w:val="single" w:color="000000" w:sz="8" w:space="0"/>
            </w:tcBorders>
            <w:vAlign w:val="center"/>
          </w:tcPr>
          <w:p w14:paraId="6437D268">
            <w:pPr>
              <w:jc w:val="center"/>
              <w:rPr>
                <w:rFonts w:ascii="宋体" w:hAnsi="宋体" w:eastAsia="宋体" w:cs="宋体"/>
                <w:szCs w:val="21"/>
              </w:rPr>
            </w:pPr>
            <w:r>
              <w:rPr>
                <w:rFonts w:hint="eastAsia" w:ascii="宋体" w:hAnsi="宋体" w:eastAsia="宋体" w:cs="宋体"/>
                <w:szCs w:val="21"/>
              </w:rPr>
              <w:t>备注</w:t>
            </w:r>
          </w:p>
        </w:tc>
      </w:tr>
      <w:tr w14:paraId="0A6E1047">
        <w:tblPrEx>
          <w:tblCellMar>
            <w:top w:w="0" w:type="dxa"/>
            <w:left w:w="108" w:type="dxa"/>
            <w:bottom w:w="0" w:type="dxa"/>
            <w:right w:w="108" w:type="dxa"/>
          </w:tblCellMar>
        </w:tblPrEx>
        <w:trPr>
          <w:trHeight w:val="821" w:hRule="atLeast"/>
        </w:trPr>
        <w:tc>
          <w:tcPr>
            <w:tcW w:w="590" w:type="dxa"/>
            <w:tcBorders>
              <w:top w:val="single" w:color="000000" w:sz="8" w:space="0"/>
              <w:left w:val="single" w:color="000000" w:sz="8" w:space="0"/>
              <w:bottom w:val="single" w:color="000000" w:sz="8" w:space="0"/>
              <w:right w:val="single" w:color="000000" w:sz="8" w:space="0"/>
            </w:tcBorders>
            <w:vAlign w:val="center"/>
          </w:tcPr>
          <w:p w14:paraId="41C80F50">
            <w:pPr>
              <w:jc w:val="center"/>
              <w:rPr>
                <w:rFonts w:hint="eastAsia" w:ascii="宋体" w:hAnsi="宋体" w:eastAsia="宋体" w:cs="宋体"/>
                <w:szCs w:val="21"/>
                <w:lang w:val="en-US" w:eastAsia="zh-CN"/>
              </w:rPr>
            </w:pPr>
          </w:p>
        </w:tc>
        <w:tc>
          <w:tcPr>
            <w:tcW w:w="1617" w:type="dxa"/>
            <w:tcBorders>
              <w:top w:val="single" w:color="000000" w:sz="8" w:space="0"/>
              <w:left w:val="nil"/>
              <w:bottom w:val="single" w:color="000000" w:sz="8" w:space="0"/>
              <w:right w:val="single" w:color="000000" w:sz="8" w:space="0"/>
            </w:tcBorders>
            <w:vAlign w:val="center"/>
          </w:tcPr>
          <w:p w14:paraId="33004050">
            <w:pPr>
              <w:jc w:val="center"/>
              <w:rPr>
                <w:rFonts w:ascii="宋体" w:hAnsi="宋体" w:eastAsia="宋体" w:cs="宋体"/>
                <w:color w:val="000000"/>
                <w:sz w:val="20"/>
                <w:szCs w:val="20"/>
              </w:rPr>
            </w:pPr>
          </w:p>
        </w:tc>
        <w:tc>
          <w:tcPr>
            <w:tcW w:w="2205" w:type="dxa"/>
            <w:tcBorders>
              <w:top w:val="single" w:color="000000" w:sz="8" w:space="0"/>
              <w:left w:val="nil"/>
              <w:bottom w:val="single" w:color="000000" w:sz="8" w:space="0"/>
              <w:right w:val="single" w:color="000000" w:sz="8" w:space="0"/>
            </w:tcBorders>
            <w:vAlign w:val="center"/>
          </w:tcPr>
          <w:p w14:paraId="2BB00525">
            <w:pPr>
              <w:jc w:val="center"/>
              <w:rPr>
                <w:rFonts w:ascii="宋体" w:hAnsi="宋体" w:eastAsia="宋体" w:cs="宋体"/>
                <w:sz w:val="20"/>
                <w:szCs w:val="20"/>
              </w:rPr>
            </w:pPr>
          </w:p>
        </w:tc>
        <w:tc>
          <w:tcPr>
            <w:tcW w:w="1005" w:type="dxa"/>
            <w:tcBorders>
              <w:top w:val="single" w:color="000000" w:sz="8" w:space="0"/>
              <w:left w:val="nil"/>
              <w:bottom w:val="single" w:color="000000" w:sz="8" w:space="0"/>
              <w:right w:val="single" w:color="000000" w:sz="8" w:space="0"/>
            </w:tcBorders>
            <w:vAlign w:val="center"/>
          </w:tcPr>
          <w:p w14:paraId="1AC22C3E">
            <w:pPr>
              <w:jc w:val="center"/>
              <w:rPr>
                <w:rFonts w:ascii="宋体" w:hAnsi="宋体" w:eastAsia="宋体" w:cs="宋体"/>
                <w:color w:val="000000"/>
                <w:sz w:val="20"/>
                <w:szCs w:val="20"/>
              </w:rPr>
            </w:pPr>
          </w:p>
        </w:tc>
        <w:tc>
          <w:tcPr>
            <w:tcW w:w="780" w:type="dxa"/>
            <w:tcBorders>
              <w:top w:val="single" w:color="000000" w:sz="8" w:space="0"/>
              <w:left w:val="nil"/>
              <w:bottom w:val="single" w:color="000000" w:sz="8" w:space="0"/>
              <w:right w:val="single" w:color="000000" w:sz="8" w:space="0"/>
            </w:tcBorders>
            <w:vAlign w:val="center"/>
          </w:tcPr>
          <w:p w14:paraId="26280B29">
            <w:pPr>
              <w:jc w:val="center"/>
              <w:rPr>
                <w:rFonts w:ascii="宋体" w:hAnsi="宋体" w:eastAsia="宋体" w:cs="宋体"/>
                <w:sz w:val="20"/>
                <w:szCs w:val="20"/>
              </w:rPr>
            </w:pPr>
          </w:p>
        </w:tc>
        <w:tc>
          <w:tcPr>
            <w:tcW w:w="1155" w:type="dxa"/>
            <w:tcBorders>
              <w:top w:val="single" w:color="000000" w:sz="8" w:space="0"/>
              <w:left w:val="nil"/>
              <w:bottom w:val="single" w:color="000000" w:sz="8" w:space="0"/>
              <w:right w:val="single" w:color="000000" w:sz="8" w:space="0"/>
            </w:tcBorders>
            <w:vAlign w:val="center"/>
          </w:tcPr>
          <w:p w14:paraId="6940E60E">
            <w:pPr>
              <w:jc w:val="center"/>
              <w:rPr>
                <w:rFonts w:ascii="宋体" w:hAnsi="宋体" w:eastAsia="宋体" w:cs="宋体"/>
                <w:szCs w:val="21"/>
              </w:rPr>
            </w:pPr>
          </w:p>
        </w:tc>
        <w:tc>
          <w:tcPr>
            <w:tcW w:w="1080" w:type="dxa"/>
            <w:tcBorders>
              <w:top w:val="single" w:color="000000" w:sz="8" w:space="0"/>
              <w:left w:val="nil"/>
              <w:bottom w:val="single" w:color="000000" w:sz="8" w:space="0"/>
              <w:right w:val="single" w:color="000000" w:sz="8" w:space="0"/>
            </w:tcBorders>
            <w:vAlign w:val="center"/>
          </w:tcPr>
          <w:p w14:paraId="79C68FD5">
            <w:pPr>
              <w:jc w:val="center"/>
              <w:rPr>
                <w:rFonts w:ascii="宋体" w:hAnsi="宋体" w:eastAsia="宋体" w:cs="宋体"/>
                <w:szCs w:val="21"/>
              </w:rPr>
            </w:pPr>
          </w:p>
        </w:tc>
        <w:tc>
          <w:tcPr>
            <w:tcW w:w="890" w:type="dxa"/>
            <w:tcBorders>
              <w:top w:val="single" w:color="000000" w:sz="8" w:space="0"/>
              <w:left w:val="nil"/>
              <w:bottom w:val="single" w:color="000000" w:sz="8" w:space="0"/>
              <w:right w:val="single" w:color="000000" w:sz="8" w:space="0"/>
            </w:tcBorders>
          </w:tcPr>
          <w:p w14:paraId="5188DC08">
            <w:pPr>
              <w:jc w:val="center"/>
              <w:rPr>
                <w:rFonts w:ascii="宋体" w:hAnsi="宋体" w:eastAsia="宋体" w:cs="宋体"/>
                <w:szCs w:val="21"/>
              </w:rPr>
            </w:pPr>
          </w:p>
        </w:tc>
      </w:tr>
      <w:tr w14:paraId="5A33B674">
        <w:tblPrEx>
          <w:tblCellMar>
            <w:top w:w="0" w:type="dxa"/>
            <w:left w:w="108" w:type="dxa"/>
            <w:bottom w:w="0" w:type="dxa"/>
            <w:right w:w="108" w:type="dxa"/>
          </w:tblCellMar>
        </w:tblPrEx>
        <w:trPr>
          <w:trHeight w:val="657" w:hRule="atLeast"/>
        </w:trPr>
        <w:tc>
          <w:tcPr>
            <w:tcW w:w="590" w:type="dxa"/>
            <w:tcBorders>
              <w:top w:val="nil"/>
              <w:left w:val="single" w:color="000000" w:sz="8" w:space="0"/>
              <w:bottom w:val="single" w:color="000000" w:sz="8" w:space="0"/>
              <w:right w:val="single" w:color="000000" w:sz="8" w:space="0"/>
            </w:tcBorders>
            <w:vAlign w:val="center"/>
          </w:tcPr>
          <w:p w14:paraId="3B732073">
            <w:pPr>
              <w:widowControl/>
              <w:jc w:val="center"/>
              <w:textAlignment w:val="center"/>
              <w:rPr>
                <w:rFonts w:hint="eastAsia" w:ascii="宋体" w:hAnsi="宋体" w:eastAsia="宋体" w:cs="宋体"/>
                <w:color w:val="000000"/>
                <w:szCs w:val="21"/>
                <w:lang w:val="en-US" w:eastAsia="zh-CN"/>
              </w:rPr>
            </w:pPr>
          </w:p>
        </w:tc>
        <w:tc>
          <w:tcPr>
            <w:tcW w:w="1617" w:type="dxa"/>
            <w:tcBorders>
              <w:top w:val="nil"/>
              <w:left w:val="nil"/>
              <w:bottom w:val="single" w:color="000000" w:sz="8" w:space="0"/>
              <w:right w:val="single" w:color="000000" w:sz="8" w:space="0"/>
            </w:tcBorders>
            <w:vAlign w:val="center"/>
          </w:tcPr>
          <w:p w14:paraId="4AB0BF82">
            <w:pPr>
              <w:jc w:val="center"/>
              <w:rPr>
                <w:rFonts w:ascii="宋体" w:hAnsi="宋体" w:eastAsia="宋体" w:cs="宋体"/>
                <w:color w:val="000000"/>
                <w:sz w:val="20"/>
                <w:szCs w:val="20"/>
              </w:rPr>
            </w:pPr>
          </w:p>
        </w:tc>
        <w:tc>
          <w:tcPr>
            <w:tcW w:w="2205" w:type="dxa"/>
            <w:tcBorders>
              <w:top w:val="nil"/>
              <w:left w:val="nil"/>
              <w:bottom w:val="single" w:color="000000" w:sz="8" w:space="0"/>
              <w:right w:val="single" w:color="000000" w:sz="8" w:space="0"/>
            </w:tcBorders>
            <w:vAlign w:val="center"/>
          </w:tcPr>
          <w:p w14:paraId="79AFAEFF">
            <w:pPr>
              <w:jc w:val="center"/>
              <w:rPr>
                <w:rFonts w:ascii="宋体" w:hAnsi="宋体" w:eastAsia="宋体" w:cs="宋体"/>
                <w:sz w:val="20"/>
                <w:szCs w:val="20"/>
              </w:rPr>
            </w:pPr>
          </w:p>
        </w:tc>
        <w:tc>
          <w:tcPr>
            <w:tcW w:w="1005" w:type="dxa"/>
            <w:tcBorders>
              <w:top w:val="nil"/>
              <w:left w:val="nil"/>
              <w:bottom w:val="single" w:color="000000" w:sz="8" w:space="0"/>
              <w:right w:val="single" w:color="000000" w:sz="8" w:space="0"/>
            </w:tcBorders>
            <w:vAlign w:val="center"/>
          </w:tcPr>
          <w:p w14:paraId="63D9657F">
            <w:pPr>
              <w:jc w:val="center"/>
              <w:rPr>
                <w:rFonts w:ascii="宋体" w:hAnsi="宋体" w:eastAsia="宋体" w:cs="宋体"/>
                <w:color w:val="000000"/>
                <w:sz w:val="20"/>
                <w:szCs w:val="20"/>
              </w:rPr>
            </w:pPr>
          </w:p>
        </w:tc>
        <w:tc>
          <w:tcPr>
            <w:tcW w:w="780" w:type="dxa"/>
            <w:tcBorders>
              <w:top w:val="nil"/>
              <w:left w:val="nil"/>
              <w:bottom w:val="single" w:color="000000" w:sz="8" w:space="0"/>
              <w:right w:val="single" w:color="000000" w:sz="8" w:space="0"/>
            </w:tcBorders>
            <w:vAlign w:val="center"/>
          </w:tcPr>
          <w:p w14:paraId="26179287">
            <w:pPr>
              <w:jc w:val="center"/>
              <w:rPr>
                <w:rFonts w:ascii="宋体" w:hAnsi="宋体" w:eastAsia="宋体" w:cs="宋体"/>
                <w:sz w:val="20"/>
                <w:szCs w:val="20"/>
              </w:rPr>
            </w:pPr>
          </w:p>
        </w:tc>
        <w:tc>
          <w:tcPr>
            <w:tcW w:w="1155" w:type="dxa"/>
            <w:tcBorders>
              <w:top w:val="nil"/>
              <w:left w:val="nil"/>
              <w:bottom w:val="single" w:color="000000" w:sz="8" w:space="0"/>
              <w:right w:val="single" w:color="000000" w:sz="8" w:space="0"/>
            </w:tcBorders>
            <w:vAlign w:val="center"/>
          </w:tcPr>
          <w:p w14:paraId="715D1344">
            <w:pPr>
              <w:widowControl/>
              <w:jc w:val="center"/>
              <w:textAlignment w:val="center"/>
              <w:rPr>
                <w:rFonts w:ascii="宋体" w:hAnsi="宋体" w:eastAsia="宋体" w:cs="宋体"/>
                <w:color w:val="000000"/>
                <w:szCs w:val="21"/>
              </w:rPr>
            </w:pPr>
          </w:p>
        </w:tc>
        <w:tc>
          <w:tcPr>
            <w:tcW w:w="1080" w:type="dxa"/>
            <w:tcBorders>
              <w:top w:val="nil"/>
              <w:left w:val="nil"/>
              <w:bottom w:val="single" w:color="000000" w:sz="8" w:space="0"/>
              <w:right w:val="single" w:color="000000" w:sz="8" w:space="0"/>
            </w:tcBorders>
            <w:vAlign w:val="center"/>
          </w:tcPr>
          <w:p w14:paraId="1AB909D2">
            <w:pPr>
              <w:widowControl/>
              <w:jc w:val="center"/>
              <w:textAlignment w:val="center"/>
              <w:rPr>
                <w:rFonts w:ascii="宋体" w:hAnsi="宋体" w:eastAsia="宋体" w:cs="宋体"/>
                <w:color w:val="000000"/>
                <w:szCs w:val="21"/>
              </w:rPr>
            </w:pPr>
          </w:p>
        </w:tc>
        <w:tc>
          <w:tcPr>
            <w:tcW w:w="890" w:type="dxa"/>
            <w:tcBorders>
              <w:top w:val="nil"/>
              <w:left w:val="nil"/>
              <w:bottom w:val="single" w:color="000000" w:sz="8" w:space="0"/>
              <w:right w:val="single" w:color="000000" w:sz="8" w:space="0"/>
            </w:tcBorders>
          </w:tcPr>
          <w:p w14:paraId="47BA8957">
            <w:pPr>
              <w:widowControl/>
              <w:jc w:val="center"/>
              <w:textAlignment w:val="center"/>
              <w:rPr>
                <w:rFonts w:ascii="宋体" w:hAnsi="宋体" w:eastAsia="宋体" w:cs="宋体"/>
                <w:color w:val="000000"/>
                <w:szCs w:val="21"/>
              </w:rPr>
            </w:pPr>
          </w:p>
        </w:tc>
      </w:tr>
      <w:tr w14:paraId="0B4FA13F">
        <w:tblPrEx>
          <w:tblCellMar>
            <w:top w:w="0" w:type="dxa"/>
            <w:left w:w="108" w:type="dxa"/>
            <w:bottom w:w="0" w:type="dxa"/>
            <w:right w:w="108" w:type="dxa"/>
          </w:tblCellMar>
        </w:tblPrEx>
        <w:trPr>
          <w:trHeight w:val="627" w:hRule="atLeast"/>
        </w:trPr>
        <w:tc>
          <w:tcPr>
            <w:tcW w:w="590" w:type="dxa"/>
            <w:tcBorders>
              <w:top w:val="nil"/>
              <w:left w:val="single" w:color="000000" w:sz="8" w:space="0"/>
              <w:bottom w:val="single" w:color="000000" w:sz="8" w:space="0"/>
              <w:right w:val="single" w:color="000000" w:sz="8" w:space="0"/>
            </w:tcBorders>
            <w:vAlign w:val="center"/>
          </w:tcPr>
          <w:p w14:paraId="0CEB76E8">
            <w:pPr>
              <w:widowControl/>
              <w:jc w:val="center"/>
              <w:textAlignment w:val="center"/>
              <w:rPr>
                <w:rFonts w:hint="eastAsia" w:ascii="宋体" w:hAnsi="宋体" w:eastAsia="宋体" w:cs="宋体"/>
                <w:color w:val="000000"/>
                <w:szCs w:val="21"/>
                <w:lang w:val="en-US" w:eastAsia="zh-CN"/>
              </w:rPr>
            </w:pPr>
          </w:p>
        </w:tc>
        <w:tc>
          <w:tcPr>
            <w:tcW w:w="1617" w:type="dxa"/>
            <w:tcBorders>
              <w:top w:val="nil"/>
              <w:left w:val="nil"/>
              <w:bottom w:val="single" w:color="000000" w:sz="8" w:space="0"/>
              <w:right w:val="single" w:color="000000" w:sz="8" w:space="0"/>
            </w:tcBorders>
            <w:vAlign w:val="center"/>
          </w:tcPr>
          <w:p w14:paraId="403D51F0">
            <w:pPr>
              <w:jc w:val="center"/>
              <w:rPr>
                <w:rFonts w:ascii="宋体" w:hAnsi="宋体" w:eastAsia="宋体" w:cs="宋体"/>
                <w:color w:val="000000"/>
                <w:sz w:val="20"/>
                <w:szCs w:val="20"/>
              </w:rPr>
            </w:pPr>
          </w:p>
        </w:tc>
        <w:tc>
          <w:tcPr>
            <w:tcW w:w="2205" w:type="dxa"/>
            <w:tcBorders>
              <w:top w:val="nil"/>
              <w:left w:val="nil"/>
              <w:bottom w:val="single" w:color="000000" w:sz="8" w:space="0"/>
              <w:right w:val="single" w:color="000000" w:sz="8" w:space="0"/>
            </w:tcBorders>
            <w:vAlign w:val="center"/>
          </w:tcPr>
          <w:p w14:paraId="0B7D2BBF">
            <w:pPr>
              <w:jc w:val="center"/>
              <w:rPr>
                <w:rFonts w:ascii="宋体" w:hAnsi="宋体" w:eastAsia="宋体" w:cs="宋体"/>
                <w:sz w:val="20"/>
                <w:szCs w:val="20"/>
              </w:rPr>
            </w:pPr>
          </w:p>
        </w:tc>
        <w:tc>
          <w:tcPr>
            <w:tcW w:w="1005" w:type="dxa"/>
            <w:tcBorders>
              <w:top w:val="nil"/>
              <w:left w:val="nil"/>
              <w:bottom w:val="single" w:color="000000" w:sz="8" w:space="0"/>
              <w:right w:val="single" w:color="000000" w:sz="8" w:space="0"/>
            </w:tcBorders>
            <w:vAlign w:val="center"/>
          </w:tcPr>
          <w:p w14:paraId="5C0403C5">
            <w:pPr>
              <w:jc w:val="center"/>
              <w:rPr>
                <w:rFonts w:ascii="宋体" w:hAnsi="宋体" w:eastAsia="宋体" w:cs="宋体"/>
                <w:color w:val="000000"/>
                <w:sz w:val="20"/>
                <w:szCs w:val="20"/>
              </w:rPr>
            </w:pPr>
          </w:p>
        </w:tc>
        <w:tc>
          <w:tcPr>
            <w:tcW w:w="780" w:type="dxa"/>
            <w:tcBorders>
              <w:top w:val="nil"/>
              <w:left w:val="nil"/>
              <w:bottom w:val="single" w:color="000000" w:sz="8" w:space="0"/>
              <w:right w:val="single" w:color="000000" w:sz="8" w:space="0"/>
            </w:tcBorders>
            <w:vAlign w:val="center"/>
          </w:tcPr>
          <w:p w14:paraId="21117E0D">
            <w:pPr>
              <w:jc w:val="center"/>
              <w:rPr>
                <w:rFonts w:ascii="宋体" w:hAnsi="宋体" w:eastAsia="宋体" w:cs="宋体"/>
                <w:sz w:val="20"/>
                <w:szCs w:val="20"/>
              </w:rPr>
            </w:pPr>
          </w:p>
        </w:tc>
        <w:tc>
          <w:tcPr>
            <w:tcW w:w="1155" w:type="dxa"/>
            <w:tcBorders>
              <w:top w:val="nil"/>
              <w:left w:val="nil"/>
              <w:bottom w:val="single" w:color="000000" w:sz="8" w:space="0"/>
              <w:right w:val="single" w:color="000000" w:sz="8" w:space="0"/>
            </w:tcBorders>
            <w:vAlign w:val="center"/>
          </w:tcPr>
          <w:p w14:paraId="371D7843">
            <w:pPr>
              <w:widowControl/>
              <w:jc w:val="center"/>
              <w:textAlignment w:val="center"/>
              <w:rPr>
                <w:rFonts w:ascii="宋体" w:hAnsi="宋体" w:eastAsia="宋体" w:cs="宋体"/>
                <w:color w:val="000000"/>
                <w:szCs w:val="21"/>
              </w:rPr>
            </w:pPr>
          </w:p>
        </w:tc>
        <w:tc>
          <w:tcPr>
            <w:tcW w:w="1080" w:type="dxa"/>
            <w:tcBorders>
              <w:top w:val="nil"/>
              <w:left w:val="nil"/>
              <w:bottom w:val="single" w:color="000000" w:sz="8" w:space="0"/>
              <w:right w:val="single" w:color="000000" w:sz="8" w:space="0"/>
            </w:tcBorders>
            <w:vAlign w:val="center"/>
          </w:tcPr>
          <w:p w14:paraId="009B7D62">
            <w:pPr>
              <w:widowControl/>
              <w:jc w:val="center"/>
              <w:textAlignment w:val="center"/>
              <w:rPr>
                <w:rFonts w:ascii="宋体" w:hAnsi="宋体" w:eastAsia="宋体" w:cs="宋体"/>
                <w:color w:val="000000"/>
                <w:szCs w:val="21"/>
              </w:rPr>
            </w:pPr>
          </w:p>
        </w:tc>
        <w:tc>
          <w:tcPr>
            <w:tcW w:w="890" w:type="dxa"/>
            <w:tcBorders>
              <w:top w:val="nil"/>
              <w:left w:val="nil"/>
              <w:bottom w:val="single" w:color="000000" w:sz="8" w:space="0"/>
              <w:right w:val="single" w:color="000000" w:sz="8" w:space="0"/>
            </w:tcBorders>
          </w:tcPr>
          <w:p w14:paraId="6825C050">
            <w:pPr>
              <w:widowControl/>
              <w:jc w:val="center"/>
              <w:textAlignment w:val="center"/>
              <w:rPr>
                <w:rFonts w:ascii="宋体" w:hAnsi="宋体" w:eastAsia="宋体" w:cs="宋体"/>
                <w:color w:val="000000"/>
                <w:szCs w:val="21"/>
              </w:rPr>
            </w:pPr>
          </w:p>
        </w:tc>
      </w:tr>
      <w:tr w14:paraId="7DD887A0">
        <w:tblPrEx>
          <w:tblCellMar>
            <w:top w:w="0" w:type="dxa"/>
            <w:left w:w="108" w:type="dxa"/>
            <w:bottom w:w="0" w:type="dxa"/>
            <w:right w:w="108" w:type="dxa"/>
          </w:tblCellMar>
        </w:tblPrEx>
        <w:trPr>
          <w:trHeight w:val="642" w:hRule="atLeast"/>
        </w:trPr>
        <w:tc>
          <w:tcPr>
            <w:tcW w:w="590" w:type="dxa"/>
            <w:tcBorders>
              <w:top w:val="nil"/>
              <w:left w:val="single" w:color="000000" w:sz="8" w:space="0"/>
              <w:bottom w:val="single" w:color="000000" w:sz="8" w:space="0"/>
              <w:right w:val="single" w:color="000000" w:sz="8" w:space="0"/>
            </w:tcBorders>
            <w:vAlign w:val="center"/>
          </w:tcPr>
          <w:p w14:paraId="0925273E">
            <w:pPr>
              <w:widowControl/>
              <w:jc w:val="center"/>
              <w:textAlignment w:val="center"/>
              <w:rPr>
                <w:rFonts w:hint="default" w:ascii="宋体" w:hAnsi="宋体" w:eastAsia="宋体" w:cs="宋体"/>
                <w:color w:val="000000"/>
                <w:szCs w:val="21"/>
                <w:lang w:val="en-US" w:eastAsia="zh-CN"/>
              </w:rPr>
            </w:pPr>
          </w:p>
        </w:tc>
        <w:tc>
          <w:tcPr>
            <w:tcW w:w="1617" w:type="dxa"/>
            <w:tcBorders>
              <w:top w:val="nil"/>
              <w:left w:val="nil"/>
              <w:bottom w:val="single" w:color="000000" w:sz="8" w:space="0"/>
              <w:right w:val="single" w:color="000000" w:sz="8" w:space="0"/>
            </w:tcBorders>
            <w:vAlign w:val="center"/>
          </w:tcPr>
          <w:p w14:paraId="0B682A64">
            <w:pPr>
              <w:jc w:val="center"/>
              <w:rPr>
                <w:rFonts w:hint="eastAsia"/>
                <w:color w:val="000000"/>
                <w:sz w:val="20"/>
                <w:szCs w:val="20"/>
              </w:rPr>
            </w:pPr>
          </w:p>
        </w:tc>
        <w:tc>
          <w:tcPr>
            <w:tcW w:w="2205" w:type="dxa"/>
            <w:tcBorders>
              <w:top w:val="nil"/>
              <w:left w:val="nil"/>
              <w:bottom w:val="single" w:color="000000" w:sz="8" w:space="0"/>
              <w:right w:val="single" w:color="000000" w:sz="8" w:space="0"/>
            </w:tcBorders>
            <w:vAlign w:val="center"/>
          </w:tcPr>
          <w:p w14:paraId="22D15B79">
            <w:pPr>
              <w:jc w:val="center"/>
              <w:rPr>
                <w:rFonts w:hint="eastAsia"/>
                <w:sz w:val="20"/>
                <w:szCs w:val="20"/>
              </w:rPr>
            </w:pPr>
          </w:p>
        </w:tc>
        <w:tc>
          <w:tcPr>
            <w:tcW w:w="1005" w:type="dxa"/>
            <w:tcBorders>
              <w:top w:val="nil"/>
              <w:left w:val="nil"/>
              <w:bottom w:val="single" w:color="000000" w:sz="8" w:space="0"/>
              <w:right w:val="single" w:color="000000" w:sz="8" w:space="0"/>
            </w:tcBorders>
            <w:vAlign w:val="center"/>
          </w:tcPr>
          <w:p w14:paraId="2E56330E">
            <w:pPr>
              <w:jc w:val="center"/>
              <w:rPr>
                <w:rFonts w:hint="eastAsia"/>
                <w:color w:val="000000"/>
                <w:sz w:val="20"/>
                <w:szCs w:val="20"/>
              </w:rPr>
            </w:pPr>
          </w:p>
        </w:tc>
        <w:tc>
          <w:tcPr>
            <w:tcW w:w="780" w:type="dxa"/>
            <w:tcBorders>
              <w:top w:val="nil"/>
              <w:left w:val="nil"/>
              <w:bottom w:val="single" w:color="000000" w:sz="8" w:space="0"/>
              <w:right w:val="single" w:color="000000" w:sz="8" w:space="0"/>
            </w:tcBorders>
            <w:vAlign w:val="center"/>
          </w:tcPr>
          <w:p w14:paraId="483C0527">
            <w:pPr>
              <w:jc w:val="center"/>
              <w:rPr>
                <w:rFonts w:hint="eastAsia"/>
                <w:sz w:val="20"/>
                <w:szCs w:val="20"/>
              </w:rPr>
            </w:pPr>
          </w:p>
        </w:tc>
        <w:tc>
          <w:tcPr>
            <w:tcW w:w="1155" w:type="dxa"/>
            <w:tcBorders>
              <w:top w:val="nil"/>
              <w:left w:val="nil"/>
              <w:bottom w:val="single" w:color="000000" w:sz="8" w:space="0"/>
              <w:right w:val="single" w:color="000000" w:sz="8" w:space="0"/>
            </w:tcBorders>
            <w:vAlign w:val="center"/>
          </w:tcPr>
          <w:p w14:paraId="32FBB594">
            <w:pPr>
              <w:widowControl/>
              <w:jc w:val="center"/>
              <w:textAlignment w:val="center"/>
              <w:rPr>
                <w:rFonts w:ascii="宋体" w:hAnsi="宋体" w:eastAsia="宋体" w:cs="宋体"/>
                <w:color w:val="000000"/>
                <w:szCs w:val="21"/>
              </w:rPr>
            </w:pPr>
          </w:p>
        </w:tc>
        <w:tc>
          <w:tcPr>
            <w:tcW w:w="1080" w:type="dxa"/>
            <w:tcBorders>
              <w:top w:val="nil"/>
              <w:left w:val="nil"/>
              <w:bottom w:val="single" w:color="000000" w:sz="8" w:space="0"/>
              <w:right w:val="single" w:color="000000" w:sz="8" w:space="0"/>
            </w:tcBorders>
            <w:vAlign w:val="center"/>
          </w:tcPr>
          <w:p w14:paraId="15B4D15A">
            <w:pPr>
              <w:widowControl/>
              <w:jc w:val="center"/>
              <w:textAlignment w:val="center"/>
              <w:rPr>
                <w:rFonts w:ascii="宋体" w:hAnsi="宋体" w:eastAsia="宋体" w:cs="宋体"/>
                <w:color w:val="000000"/>
                <w:szCs w:val="21"/>
              </w:rPr>
            </w:pPr>
          </w:p>
        </w:tc>
        <w:tc>
          <w:tcPr>
            <w:tcW w:w="890" w:type="dxa"/>
            <w:tcBorders>
              <w:top w:val="nil"/>
              <w:left w:val="nil"/>
              <w:bottom w:val="single" w:color="000000" w:sz="8" w:space="0"/>
              <w:right w:val="single" w:color="000000" w:sz="8" w:space="0"/>
            </w:tcBorders>
          </w:tcPr>
          <w:p w14:paraId="76A70DAA">
            <w:pPr>
              <w:widowControl/>
              <w:jc w:val="center"/>
              <w:textAlignment w:val="center"/>
              <w:rPr>
                <w:rFonts w:ascii="宋体" w:hAnsi="宋体" w:eastAsia="宋体" w:cs="宋体"/>
                <w:color w:val="000000"/>
                <w:szCs w:val="21"/>
              </w:rPr>
            </w:pPr>
          </w:p>
        </w:tc>
      </w:tr>
      <w:tr w14:paraId="60B33144">
        <w:tblPrEx>
          <w:tblCellMar>
            <w:top w:w="0" w:type="dxa"/>
            <w:left w:w="108" w:type="dxa"/>
            <w:bottom w:w="0" w:type="dxa"/>
            <w:right w:w="108" w:type="dxa"/>
          </w:tblCellMar>
        </w:tblPrEx>
        <w:trPr>
          <w:trHeight w:val="732" w:hRule="atLeast"/>
        </w:trPr>
        <w:tc>
          <w:tcPr>
            <w:tcW w:w="590" w:type="dxa"/>
            <w:tcBorders>
              <w:top w:val="nil"/>
              <w:left w:val="single" w:color="000000" w:sz="8" w:space="0"/>
              <w:bottom w:val="single" w:color="000000" w:sz="8" w:space="0"/>
              <w:right w:val="single" w:color="000000" w:sz="8" w:space="0"/>
            </w:tcBorders>
            <w:vAlign w:val="center"/>
          </w:tcPr>
          <w:p w14:paraId="64DF0ABD">
            <w:pPr>
              <w:widowControl/>
              <w:jc w:val="center"/>
              <w:textAlignment w:val="center"/>
              <w:rPr>
                <w:rFonts w:hint="default" w:ascii="宋体" w:hAnsi="宋体" w:eastAsia="宋体" w:cs="宋体"/>
                <w:color w:val="000000"/>
                <w:szCs w:val="21"/>
                <w:lang w:val="en-US" w:eastAsia="zh-CN"/>
              </w:rPr>
            </w:pPr>
          </w:p>
        </w:tc>
        <w:tc>
          <w:tcPr>
            <w:tcW w:w="1617" w:type="dxa"/>
            <w:tcBorders>
              <w:top w:val="nil"/>
              <w:left w:val="nil"/>
              <w:bottom w:val="single" w:color="000000" w:sz="8" w:space="0"/>
              <w:right w:val="single" w:color="000000" w:sz="8" w:space="0"/>
            </w:tcBorders>
            <w:vAlign w:val="center"/>
          </w:tcPr>
          <w:p w14:paraId="6AAE4276">
            <w:pPr>
              <w:jc w:val="center"/>
              <w:rPr>
                <w:rFonts w:hint="eastAsia"/>
                <w:color w:val="000000"/>
                <w:sz w:val="20"/>
                <w:szCs w:val="20"/>
              </w:rPr>
            </w:pPr>
          </w:p>
        </w:tc>
        <w:tc>
          <w:tcPr>
            <w:tcW w:w="2205" w:type="dxa"/>
            <w:tcBorders>
              <w:top w:val="nil"/>
              <w:left w:val="nil"/>
              <w:bottom w:val="single" w:color="000000" w:sz="8" w:space="0"/>
              <w:right w:val="single" w:color="000000" w:sz="8" w:space="0"/>
            </w:tcBorders>
            <w:vAlign w:val="center"/>
          </w:tcPr>
          <w:p w14:paraId="4C22FF26">
            <w:pPr>
              <w:jc w:val="center"/>
              <w:rPr>
                <w:rFonts w:hint="eastAsia"/>
                <w:sz w:val="20"/>
                <w:szCs w:val="20"/>
              </w:rPr>
            </w:pPr>
          </w:p>
        </w:tc>
        <w:tc>
          <w:tcPr>
            <w:tcW w:w="1005" w:type="dxa"/>
            <w:tcBorders>
              <w:top w:val="nil"/>
              <w:left w:val="nil"/>
              <w:bottom w:val="single" w:color="000000" w:sz="8" w:space="0"/>
              <w:right w:val="single" w:color="000000" w:sz="8" w:space="0"/>
            </w:tcBorders>
            <w:vAlign w:val="center"/>
          </w:tcPr>
          <w:p w14:paraId="3010BA6C">
            <w:pPr>
              <w:jc w:val="center"/>
              <w:rPr>
                <w:rFonts w:hint="eastAsia"/>
                <w:color w:val="000000"/>
                <w:sz w:val="20"/>
                <w:szCs w:val="20"/>
              </w:rPr>
            </w:pPr>
          </w:p>
        </w:tc>
        <w:tc>
          <w:tcPr>
            <w:tcW w:w="780" w:type="dxa"/>
            <w:tcBorders>
              <w:top w:val="nil"/>
              <w:left w:val="nil"/>
              <w:bottom w:val="single" w:color="000000" w:sz="8" w:space="0"/>
              <w:right w:val="single" w:color="000000" w:sz="8" w:space="0"/>
            </w:tcBorders>
            <w:vAlign w:val="center"/>
          </w:tcPr>
          <w:p w14:paraId="064B5D12">
            <w:pPr>
              <w:jc w:val="center"/>
              <w:rPr>
                <w:rFonts w:hint="eastAsia"/>
                <w:sz w:val="20"/>
                <w:szCs w:val="20"/>
              </w:rPr>
            </w:pPr>
          </w:p>
        </w:tc>
        <w:tc>
          <w:tcPr>
            <w:tcW w:w="1155" w:type="dxa"/>
            <w:tcBorders>
              <w:top w:val="nil"/>
              <w:left w:val="nil"/>
              <w:bottom w:val="single" w:color="000000" w:sz="8" w:space="0"/>
              <w:right w:val="single" w:color="000000" w:sz="8" w:space="0"/>
            </w:tcBorders>
            <w:vAlign w:val="center"/>
          </w:tcPr>
          <w:p w14:paraId="16603313">
            <w:pPr>
              <w:widowControl/>
              <w:jc w:val="center"/>
              <w:textAlignment w:val="center"/>
              <w:rPr>
                <w:rFonts w:ascii="宋体" w:hAnsi="宋体" w:eastAsia="宋体" w:cs="宋体"/>
                <w:color w:val="000000"/>
                <w:szCs w:val="21"/>
              </w:rPr>
            </w:pPr>
          </w:p>
        </w:tc>
        <w:tc>
          <w:tcPr>
            <w:tcW w:w="1080" w:type="dxa"/>
            <w:tcBorders>
              <w:top w:val="nil"/>
              <w:left w:val="nil"/>
              <w:bottom w:val="single" w:color="000000" w:sz="8" w:space="0"/>
              <w:right w:val="single" w:color="000000" w:sz="8" w:space="0"/>
            </w:tcBorders>
            <w:vAlign w:val="center"/>
          </w:tcPr>
          <w:p w14:paraId="236CEF21">
            <w:pPr>
              <w:widowControl/>
              <w:jc w:val="center"/>
              <w:textAlignment w:val="center"/>
              <w:rPr>
                <w:rFonts w:ascii="宋体" w:hAnsi="宋体" w:eastAsia="宋体" w:cs="宋体"/>
                <w:color w:val="000000"/>
                <w:szCs w:val="21"/>
              </w:rPr>
            </w:pPr>
          </w:p>
        </w:tc>
        <w:tc>
          <w:tcPr>
            <w:tcW w:w="890" w:type="dxa"/>
            <w:tcBorders>
              <w:top w:val="nil"/>
              <w:left w:val="nil"/>
              <w:bottom w:val="single" w:color="000000" w:sz="8" w:space="0"/>
              <w:right w:val="single" w:color="000000" w:sz="8" w:space="0"/>
            </w:tcBorders>
          </w:tcPr>
          <w:p w14:paraId="0C2BE34D">
            <w:pPr>
              <w:widowControl/>
              <w:jc w:val="center"/>
              <w:textAlignment w:val="center"/>
              <w:rPr>
                <w:rFonts w:ascii="宋体" w:hAnsi="宋体" w:eastAsia="宋体" w:cs="宋体"/>
                <w:color w:val="000000"/>
                <w:szCs w:val="21"/>
              </w:rPr>
            </w:pPr>
          </w:p>
        </w:tc>
      </w:tr>
      <w:tr w14:paraId="2ADA029F">
        <w:tblPrEx>
          <w:tblCellMar>
            <w:top w:w="0" w:type="dxa"/>
            <w:left w:w="108" w:type="dxa"/>
            <w:bottom w:w="0" w:type="dxa"/>
            <w:right w:w="108" w:type="dxa"/>
          </w:tblCellMar>
        </w:tblPrEx>
        <w:trPr>
          <w:trHeight w:val="880" w:hRule="atLeast"/>
        </w:trPr>
        <w:tc>
          <w:tcPr>
            <w:tcW w:w="8432" w:type="dxa"/>
            <w:gridSpan w:val="7"/>
            <w:tcBorders>
              <w:top w:val="single" w:color="auto" w:sz="4" w:space="0"/>
              <w:left w:val="single" w:color="auto" w:sz="4" w:space="0"/>
              <w:bottom w:val="single" w:color="auto" w:sz="4" w:space="0"/>
              <w:right w:val="single" w:color="auto" w:sz="4" w:space="0"/>
            </w:tcBorders>
            <w:vAlign w:val="center"/>
          </w:tcPr>
          <w:p w14:paraId="4866DDA3">
            <w:pPr>
              <w:widowControl/>
              <w:jc w:val="left"/>
              <w:textAlignment w:val="center"/>
              <w:rPr>
                <w:color w:val="000000"/>
                <w:sz w:val="20"/>
                <w:szCs w:val="20"/>
              </w:rPr>
            </w:pPr>
            <w:r>
              <w:rPr>
                <w:rFonts w:hint="eastAsia"/>
                <w:color w:val="000000"/>
                <w:sz w:val="20"/>
                <w:szCs w:val="20"/>
              </w:rPr>
              <w:t xml:space="preserve">总价：小写 </w:t>
            </w:r>
            <w:r>
              <w:rPr>
                <w:rFonts w:hint="eastAsia"/>
                <w:color w:val="000000"/>
                <w:sz w:val="20"/>
                <w:szCs w:val="20"/>
                <w:u w:val="single"/>
              </w:rPr>
              <w:t xml:space="preserve">                  </w:t>
            </w:r>
            <w:r>
              <w:rPr>
                <w:rFonts w:hint="eastAsia"/>
                <w:color w:val="000000"/>
                <w:sz w:val="20"/>
                <w:szCs w:val="20"/>
              </w:rPr>
              <w:t>（元）</w:t>
            </w:r>
          </w:p>
        </w:tc>
        <w:tc>
          <w:tcPr>
            <w:tcW w:w="890" w:type="dxa"/>
            <w:tcBorders>
              <w:top w:val="single" w:color="auto" w:sz="4" w:space="0"/>
              <w:left w:val="single" w:color="auto" w:sz="4" w:space="0"/>
              <w:bottom w:val="single" w:color="auto" w:sz="4" w:space="0"/>
              <w:right w:val="single" w:color="auto" w:sz="4" w:space="0"/>
            </w:tcBorders>
          </w:tcPr>
          <w:p w14:paraId="73FF41FC">
            <w:pPr>
              <w:widowControl/>
              <w:jc w:val="left"/>
              <w:textAlignment w:val="center"/>
              <w:rPr>
                <w:color w:val="000000"/>
                <w:sz w:val="20"/>
                <w:szCs w:val="20"/>
              </w:rPr>
            </w:pPr>
          </w:p>
          <w:p w14:paraId="2D51814C">
            <w:pPr>
              <w:widowControl/>
              <w:jc w:val="left"/>
              <w:textAlignment w:val="center"/>
              <w:rPr>
                <w:color w:val="000000"/>
                <w:sz w:val="20"/>
                <w:szCs w:val="20"/>
              </w:rPr>
            </w:pPr>
            <w:r>
              <w:rPr>
                <w:rFonts w:hint="eastAsia"/>
                <w:color w:val="000000"/>
                <w:sz w:val="20"/>
                <w:szCs w:val="20"/>
              </w:rPr>
              <w:t>含税价</w:t>
            </w:r>
          </w:p>
        </w:tc>
      </w:tr>
    </w:tbl>
    <w:p w14:paraId="08A36894">
      <w:pPr>
        <w:rPr>
          <w:rFonts w:ascii="宋体" w:hAnsi="宋体" w:eastAsia="宋体"/>
          <w:sz w:val="28"/>
          <w:szCs w:val="28"/>
        </w:rPr>
      </w:pPr>
      <w:r>
        <w:rPr>
          <w:rFonts w:hint="eastAsia" w:ascii="宋体" w:hAnsi="宋体" w:eastAsia="宋体"/>
          <w:sz w:val="28"/>
          <w:szCs w:val="28"/>
        </w:rPr>
        <w:t xml:space="preserve">                  </w:t>
      </w:r>
    </w:p>
    <w:p w14:paraId="25FA9183">
      <w:pPr>
        <w:adjustRightInd w:val="0"/>
        <w:snapToGrid w:val="0"/>
        <w:spacing w:line="360" w:lineRule="auto"/>
        <w:rPr>
          <w:rFonts w:ascii="宋体" w:hAnsi="宋体"/>
          <w:b/>
          <w:szCs w:val="21"/>
        </w:rPr>
      </w:pPr>
    </w:p>
    <w:p w14:paraId="28409B2F">
      <w:pPr>
        <w:adjustRightInd w:val="0"/>
        <w:snapToGrid w:val="0"/>
        <w:spacing w:line="360" w:lineRule="auto"/>
        <w:rPr>
          <w:rFonts w:ascii="宋体" w:hAnsi="宋体"/>
          <w:b/>
          <w:szCs w:val="21"/>
        </w:rPr>
      </w:pPr>
    </w:p>
    <w:p w14:paraId="49E1DF61">
      <w:pPr>
        <w:adjustRightInd w:val="0"/>
        <w:snapToGrid w:val="0"/>
        <w:spacing w:line="360" w:lineRule="auto"/>
        <w:rPr>
          <w:rFonts w:ascii="宋体" w:hAnsi="宋体"/>
          <w:b/>
          <w:szCs w:val="21"/>
        </w:rPr>
      </w:pPr>
    </w:p>
    <w:p w14:paraId="5A048E83">
      <w:pPr>
        <w:adjustRightInd w:val="0"/>
        <w:snapToGrid w:val="0"/>
        <w:spacing w:line="360" w:lineRule="auto"/>
        <w:rPr>
          <w:rFonts w:ascii="宋体" w:hAnsi="宋体"/>
          <w:szCs w:val="21"/>
        </w:rPr>
      </w:pPr>
      <w:r>
        <w:rPr>
          <w:rFonts w:ascii="宋体" w:hAnsi="宋体"/>
          <w:b/>
          <w:szCs w:val="21"/>
        </w:rPr>
        <w:t>总价：</w:t>
      </w:r>
      <w:r>
        <w:rPr>
          <w:rFonts w:hint="eastAsia" w:ascii="宋体" w:hAnsi="宋体"/>
          <w:szCs w:val="21"/>
          <w:u w:val="single"/>
        </w:rPr>
        <w:t xml:space="preserve">                         </w:t>
      </w:r>
      <w:r>
        <w:rPr>
          <w:rFonts w:hint="eastAsia" w:ascii="宋体" w:hAnsi="宋体"/>
          <w:szCs w:val="21"/>
        </w:rPr>
        <w:t>元</w:t>
      </w:r>
    </w:p>
    <w:p w14:paraId="1CA65E13">
      <w:pPr>
        <w:spacing w:line="360" w:lineRule="auto"/>
        <w:jc w:val="left"/>
        <w:rPr>
          <w:rFonts w:ascii="宋体" w:hAnsi="宋体"/>
          <w:szCs w:val="21"/>
          <w:u w:val="single"/>
        </w:rPr>
      </w:pPr>
      <w:r>
        <w:rPr>
          <w:rFonts w:hint="eastAsia" w:ascii="宋体" w:hAnsi="宋体"/>
          <w:szCs w:val="21"/>
        </w:rPr>
        <w:t>报价人（盖章）：</w:t>
      </w:r>
      <w:r>
        <w:rPr>
          <w:rFonts w:hint="eastAsia" w:ascii="宋体" w:hAnsi="宋体"/>
          <w:szCs w:val="21"/>
          <w:u w:val="single"/>
        </w:rPr>
        <w:t xml:space="preserve">                     </w:t>
      </w:r>
    </w:p>
    <w:p w14:paraId="477B4FA7">
      <w:pPr>
        <w:spacing w:line="360" w:lineRule="auto"/>
        <w:jc w:val="left"/>
        <w:rPr>
          <w:rFonts w:ascii="宋体" w:hAnsi="宋体"/>
          <w:szCs w:val="21"/>
          <w:u w:val="single"/>
        </w:rPr>
      </w:pPr>
      <w:r>
        <w:rPr>
          <w:rFonts w:hint="eastAsia" w:ascii="宋体" w:hAnsi="宋体"/>
          <w:szCs w:val="21"/>
        </w:rPr>
        <w:t>法定代表人：（签字）</w:t>
      </w:r>
      <w:r>
        <w:rPr>
          <w:rFonts w:hint="eastAsia" w:ascii="宋体" w:hAnsi="宋体"/>
          <w:szCs w:val="21"/>
          <w:u w:val="single"/>
        </w:rPr>
        <w:t xml:space="preserve">                        </w:t>
      </w:r>
    </w:p>
    <w:p w14:paraId="08FABAF9">
      <w:pPr>
        <w:spacing w:line="360" w:lineRule="auto"/>
        <w:jc w:val="left"/>
        <w:rPr>
          <w:rFonts w:ascii="宋体" w:hAnsi="宋体"/>
          <w:szCs w:val="21"/>
          <w:u w:val="single"/>
        </w:rPr>
      </w:pPr>
      <w:r>
        <w:rPr>
          <w:rFonts w:hint="eastAsia" w:ascii="宋体" w:hAnsi="宋体"/>
          <w:szCs w:val="21"/>
        </w:rPr>
        <w:t>单位地址：</w:t>
      </w:r>
      <w:r>
        <w:rPr>
          <w:rFonts w:hint="eastAsia" w:ascii="宋体" w:hAnsi="宋体"/>
          <w:szCs w:val="21"/>
          <w:u w:val="single"/>
        </w:rPr>
        <w:t xml:space="preserve">                            </w:t>
      </w:r>
    </w:p>
    <w:p w14:paraId="2867DD2B">
      <w:pPr>
        <w:spacing w:line="360" w:lineRule="auto"/>
        <w:jc w:val="left"/>
        <w:rPr>
          <w:rFonts w:ascii="宋体" w:hAnsi="宋体" w:cs="Arial"/>
          <w:szCs w:val="21"/>
        </w:rPr>
      </w:pPr>
      <w:r>
        <w:rPr>
          <w:rFonts w:ascii="宋体" w:hAnsi="宋体" w:cs="Arial"/>
          <w:szCs w:val="21"/>
        </w:rPr>
        <w:t>日期：</w:t>
      </w:r>
      <w:r>
        <w:rPr>
          <w:rFonts w:hint="eastAsia" w:ascii="宋体" w:hAnsi="宋体" w:cs="Arial"/>
          <w:szCs w:val="21"/>
          <w:u w:val="single"/>
        </w:rPr>
        <w:t xml:space="preserve">                           </w:t>
      </w:r>
    </w:p>
    <w:p w14:paraId="170425C5">
      <w:pPr>
        <w:spacing w:line="360" w:lineRule="auto"/>
        <w:jc w:val="left"/>
        <w:rPr>
          <w:rFonts w:ascii="宋体" w:hAnsi="宋体"/>
          <w:sz w:val="28"/>
        </w:rPr>
      </w:pPr>
    </w:p>
    <w:p w14:paraId="3C0B5D0C">
      <w:pPr>
        <w:spacing w:line="360" w:lineRule="auto"/>
        <w:jc w:val="left"/>
        <w:rPr>
          <w:rFonts w:ascii="宋体" w:hAnsi="宋体"/>
          <w:sz w:val="28"/>
        </w:rPr>
      </w:pPr>
    </w:p>
    <w:p w14:paraId="342E0E38">
      <w:pPr>
        <w:spacing w:line="360" w:lineRule="auto"/>
        <w:jc w:val="left"/>
        <w:rPr>
          <w:rFonts w:hint="eastAsia" w:ascii="宋体" w:hAnsi="宋体" w:eastAsiaTheme="minorEastAsia"/>
          <w:sz w:val="28"/>
          <w:lang w:eastAsia="zh-CN"/>
        </w:rPr>
      </w:pPr>
    </w:p>
    <w:p w14:paraId="12C2148C">
      <w:pPr>
        <w:pStyle w:val="5"/>
        <w:rPr>
          <w:rFonts w:hint="eastAsia"/>
          <w:lang w:eastAsia="zh-CN"/>
        </w:rPr>
      </w:pPr>
    </w:p>
    <w:p w14:paraId="0E8B3579">
      <w:pPr>
        <w:pStyle w:val="5"/>
        <w:rPr>
          <w:rFonts w:hint="eastAsia"/>
          <w:lang w:eastAsia="zh-CN"/>
        </w:rPr>
      </w:pPr>
    </w:p>
    <w:p w14:paraId="000FCA8D">
      <w:pPr>
        <w:spacing w:line="360" w:lineRule="auto"/>
        <w:jc w:val="left"/>
        <w:rPr>
          <w:rFonts w:ascii="仿宋" w:hAnsi="仿宋" w:eastAsia="仿宋" w:cs="仿宋"/>
          <w:b/>
          <w:sz w:val="36"/>
          <w:szCs w:val="36"/>
          <w:highlight w:val="yellow"/>
        </w:rPr>
      </w:pPr>
      <w:r>
        <w:rPr>
          <w:rFonts w:hint="eastAsia" w:ascii="宋体" w:hAnsi="宋体"/>
          <w:sz w:val="28"/>
        </w:rPr>
        <w:t>附件</w:t>
      </w:r>
      <w:r>
        <w:rPr>
          <w:rFonts w:hint="eastAsia" w:ascii="宋体" w:hAnsi="宋体"/>
          <w:sz w:val="28"/>
          <w:lang w:val="en-US" w:eastAsia="zh-CN"/>
        </w:rPr>
        <w:t>5</w:t>
      </w:r>
      <w:r>
        <w:rPr>
          <w:rFonts w:hint="eastAsia" w:ascii="宋体" w:hAnsi="宋体"/>
          <w:sz w:val="28"/>
        </w:rPr>
        <w:t>：</w:t>
      </w:r>
    </w:p>
    <w:p w14:paraId="305A46BE">
      <w:pPr>
        <w:snapToGrid w:val="0"/>
        <w:jc w:val="center"/>
        <w:rPr>
          <w:rFonts w:ascii="仿宋" w:hAnsi="仿宋" w:eastAsia="仿宋" w:cs="仿宋"/>
          <w:b/>
          <w:sz w:val="36"/>
          <w:szCs w:val="36"/>
        </w:rPr>
      </w:pPr>
      <w:r>
        <w:rPr>
          <w:rFonts w:hint="eastAsia" w:ascii="仿宋" w:hAnsi="仿宋" w:eastAsia="仿宋" w:cs="仿宋"/>
          <w:b/>
          <w:sz w:val="36"/>
          <w:szCs w:val="36"/>
        </w:rPr>
        <w:t>廉政承诺书</w:t>
      </w:r>
    </w:p>
    <w:p w14:paraId="0B433124">
      <w:pPr>
        <w:snapToGrid w:val="0"/>
        <w:jc w:val="center"/>
        <w:rPr>
          <w:rFonts w:ascii="仿宋" w:hAnsi="仿宋" w:eastAsia="仿宋" w:cs="仿宋"/>
          <w:b/>
          <w:sz w:val="36"/>
          <w:szCs w:val="36"/>
        </w:rPr>
      </w:pPr>
    </w:p>
    <w:p w14:paraId="4210F748">
      <w:pPr>
        <w:snapToGrid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发包方：天津市管道工程集团有限公司第八分公司</w:t>
      </w:r>
    </w:p>
    <w:p w14:paraId="2EEE8EC6">
      <w:pPr>
        <w:snapToGrid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报价方：</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公司</w:t>
      </w:r>
    </w:p>
    <w:p w14:paraId="57D4E45B">
      <w:pPr>
        <w:snapToGrid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我方根据已收到的</w:t>
      </w:r>
      <w:r>
        <w:rPr>
          <w:rFonts w:hint="eastAsia" w:ascii="仿宋_GB2312" w:hAnsi="仿宋_GB2312" w:eastAsia="仿宋_GB2312" w:cs="仿宋_GB2312"/>
          <w:sz w:val="32"/>
          <w:szCs w:val="32"/>
          <w:u w:val="single"/>
        </w:rPr>
        <w:t xml:space="preserve">     （项目名称）     </w:t>
      </w:r>
      <w:r>
        <w:rPr>
          <w:rFonts w:hint="eastAsia" w:ascii="仿宋_GB2312" w:hAnsi="仿宋_GB2312" w:eastAsia="仿宋_GB2312" w:cs="仿宋_GB2312"/>
          <w:sz w:val="32"/>
          <w:szCs w:val="32"/>
        </w:rPr>
        <w:t>的采购文件，为加强投标廉政建设，经研究决定就以下内容分别做出承诺：</w:t>
      </w:r>
    </w:p>
    <w:p w14:paraId="73B399B8">
      <w:pPr>
        <w:snapToGrid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1、应严格遵守国家关于招标采购的有关法律、法规，相关政策，以及廉政建设的各项规定。</w:t>
      </w:r>
    </w:p>
    <w:p w14:paraId="66137259">
      <w:pPr>
        <w:snapToGrid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 严格执行采购采购合同文件，自觉按合同办事。</w:t>
      </w:r>
    </w:p>
    <w:p w14:paraId="597C43DF">
      <w:pPr>
        <w:snapToGrid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3、各项活动必须坚持公开、公平、公正、诚信、透明的原则（除法律法规另有规定者外），不得为获取不正当的利益，损害国家、集体和对方利益，不得违反招标采购管理的规章制度。</w:t>
      </w:r>
    </w:p>
    <w:p w14:paraId="31034919">
      <w:pPr>
        <w:snapToGrid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4、发现对方在业务活动中有违规、违纪、违法行为的，应及时提醒对方，情节严重的，应向其上级主管部门或纪检监察、司法等有关机关举报。</w:t>
      </w:r>
    </w:p>
    <w:p w14:paraId="3BC008DA">
      <w:pPr>
        <w:snapToGrid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5、应与发包方保持正常的业务交往，按照有关法律法规和程序开展业务工作，严格执行招标采购的有关方针、政策，执行工程建设强制性标准。</w:t>
      </w:r>
    </w:p>
    <w:p w14:paraId="35B612EA">
      <w:pPr>
        <w:snapToGrid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6、不得以任何理由向发包方及其工作人员赠送礼金、有价证券、贵重物品及回扣、好处费、感谢费等。</w:t>
      </w:r>
    </w:p>
    <w:p w14:paraId="1706FED2">
      <w:pPr>
        <w:snapToGrid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7、不得以任何理由为发包方和相关单位报销应由对方或个人支付的费用。</w:t>
      </w:r>
    </w:p>
    <w:p w14:paraId="53D555D7">
      <w:pPr>
        <w:snapToGrid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8、不得接受或暗示为发包方、相关单位或个人装修住房、婚丧嫁娶、配偶子女的工作安排以及出国（境）、旅游等提供方便。</w:t>
      </w:r>
    </w:p>
    <w:p w14:paraId="39E2F365">
      <w:pPr>
        <w:snapToGrid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9、不得以任何理由为发包方、相关单位或个人组织有可能影响公正执行公务的宴请、健身、娱乐等活动。</w:t>
      </w:r>
    </w:p>
    <w:p w14:paraId="70DD1165">
      <w:pPr>
        <w:snapToGrid w:val="0"/>
        <w:ind w:firstLine="640" w:firstLineChars="200"/>
        <w:rPr>
          <w:rFonts w:ascii="仿宋_GB2312" w:hAnsi="仿宋_GB2312" w:eastAsia="仿宋_GB2312" w:cs="仿宋_GB2312"/>
          <w:color w:val="000000"/>
          <w:sz w:val="32"/>
          <w:szCs w:val="32"/>
          <w:lang w:bidi="ar"/>
        </w:rPr>
      </w:pPr>
      <w:r>
        <w:rPr>
          <w:rFonts w:hint="eastAsia" w:ascii="仿宋_GB2312" w:hAnsi="仿宋_GB2312" w:eastAsia="仿宋_GB2312" w:cs="仿宋_GB2312"/>
          <w:color w:val="000000"/>
          <w:sz w:val="32"/>
          <w:szCs w:val="32"/>
          <w:lang w:bidi="ar"/>
        </w:rPr>
        <w:t>10、禁止报价方间串通投标，影响公平竞争，损害发包方或者其他报价方的合法权益。</w:t>
      </w:r>
    </w:p>
    <w:p w14:paraId="14569C49">
      <w:pPr>
        <w:snapToGrid w:val="0"/>
        <w:ind w:firstLine="640" w:firstLineChars="200"/>
        <w:rPr>
          <w:rFonts w:ascii="仿宋_GB2312" w:hAnsi="仿宋_GB2312" w:eastAsia="仿宋_GB2312" w:cs="仿宋_GB2312"/>
          <w:color w:val="000000"/>
          <w:sz w:val="32"/>
          <w:szCs w:val="32"/>
          <w:lang w:bidi="ar"/>
        </w:rPr>
      </w:pPr>
      <w:r>
        <w:rPr>
          <w:rFonts w:hint="eastAsia" w:ascii="仿宋_GB2312" w:hAnsi="仿宋_GB2312" w:eastAsia="仿宋_GB2312" w:cs="仿宋_GB2312"/>
          <w:color w:val="000000"/>
          <w:sz w:val="32"/>
          <w:szCs w:val="32"/>
          <w:lang w:bidi="ar"/>
        </w:rPr>
        <w:t>报价方应公平竞争，维护市场秩序。报价方间的下列行为应受禁止：</w:t>
      </w:r>
    </w:p>
    <w:p w14:paraId="43519084">
      <w:pPr>
        <w:snapToGrid w:val="0"/>
        <w:ind w:firstLine="640" w:firstLineChars="200"/>
        <w:rPr>
          <w:rFonts w:ascii="仿宋_GB2312" w:hAnsi="仿宋_GB2312" w:eastAsia="仿宋_GB2312" w:cs="仿宋_GB2312"/>
          <w:color w:val="000000"/>
          <w:sz w:val="32"/>
          <w:szCs w:val="32"/>
          <w:lang w:bidi="ar"/>
        </w:rPr>
      </w:pPr>
      <w:r>
        <w:rPr>
          <w:rFonts w:hint="eastAsia" w:ascii="仿宋_GB2312" w:hAnsi="仿宋_GB2312" w:eastAsia="仿宋_GB2312" w:cs="仿宋_GB2312"/>
          <w:color w:val="000000"/>
          <w:sz w:val="32"/>
          <w:szCs w:val="32"/>
          <w:lang w:bidi="ar"/>
        </w:rPr>
        <w:t>（1）报价方之间协商投标报价等报价文件的实质性内容；</w:t>
      </w:r>
    </w:p>
    <w:p w14:paraId="3A4C3C86">
      <w:pPr>
        <w:snapToGrid w:val="0"/>
        <w:ind w:firstLine="640" w:firstLineChars="200"/>
        <w:rPr>
          <w:rFonts w:ascii="仿宋_GB2312" w:hAnsi="仿宋_GB2312" w:eastAsia="仿宋_GB2312" w:cs="仿宋_GB2312"/>
          <w:color w:val="000000"/>
          <w:sz w:val="32"/>
          <w:szCs w:val="32"/>
          <w:lang w:bidi="ar"/>
        </w:rPr>
      </w:pPr>
      <w:r>
        <w:rPr>
          <w:rFonts w:hint="eastAsia" w:ascii="仿宋_GB2312" w:hAnsi="仿宋_GB2312" w:eastAsia="仿宋_GB2312" w:cs="仿宋_GB2312"/>
          <w:color w:val="000000"/>
          <w:sz w:val="32"/>
          <w:szCs w:val="32"/>
          <w:lang w:bidi="ar"/>
        </w:rPr>
        <w:t>（2）报价方之间约定中标人；</w:t>
      </w:r>
    </w:p>
    <w:p w14:paraId="14FA4004">
      <w:pPr>
        <w:snapToGrid w:val="0"/>
        <w:ind w:firstLine="640" w:firstLineChars="200"/>
        <w:rPr>
          <w:rFonts w:ascii="仿宋_GB2312" w:hAnsi="仿宋_GB2312" w:eastAsia="仿宋_GB2312" w:cs="仿宋_GB2312"/>
          <w:color w:val="000000"/>
          <w:sz w:val="32"/>
          <w:szCs w:val="32"/>
          <w:lang w:bidi="ar"/>
        </w:rPr>
      </w:pPr>
      <w:r>
        <w:rPr>
          <w:rFonts w:hint="eastAsia" w:ascii="仿宋_GB2312" w:hAnsi="仿宋_GB2312" w:eastAsia="仿宋_GB2312" w:cs="仿宋_GB2312"/>
          <w:color w:val="000000"/>
          <w:sz w:val="32"/>
          <w:szCs w:val="32"/>
          <w:lang w:bidi="ar"/>
        </w:rPr>
        <w:t>（3）报价方之间约定部分报价方放弃报价或者中标；</w:t>
      </w:r>
    </w:p>
    <w:p w14:paraId="0826B5CD">
      <w:pPr>
        <w:snapToGrid w:val="0"/>
        <w:ind w:firstLine="640" w:firstLineChars="200"/>
        <w:rPr>
          <w:rFonts w:ascii="仿宋_GB2312" w:hAnsi="仿宋_GB2312" w:eastAsia="仿宋_GB2312" w:cs="仿宋_GB2312"/>
          <w:color w:val="000000"/>
          <w:sz w:val="32"/>
          <w:szCs w:val="32"/>
          <w:lang w:bidi="ar"/>
        </w:rPr>
      </w:pPr>
      <w:r>
        <w:rPr>
          <w:rFonts w:hint="eastAsia" w:ascii="仿宋_GB2312" w:hAnsi="仿宋_GB2312" w:eastAsia="仿宋_GB2312" w:cs="仿宋_GB2312"/>
          <w:color w:val="000000"/>
          <w:sz w:val="32"/>
          <w:szCs w:val="32"/>
          <w:lang w:bidi="ar"/>
        </w:rPr>
        <w:t>（4）属于同一集团、协会、商会等组织成员的报价方按照该组织要求协同投标；</w:t>
      </w:r>
    </w:p>
    <w:p w14:paraId="56945D92">
      <w:pPr>
        <w:snapToGrid w:val="0"/>
        <w:ind w:firstLine="640" w:firstLineChars="200"/>
        <w:rPr>
          <w:rFonts w:ascii="仿宋_GB2312" w:hAnsi="仿宋_GB2312" w:eastAsia="仿宋_GB2312" w:cs="仿宋_GB2312"/>
          <w:color w:val="000000"/>
          <w:sz w:val="32"/>
          <w:szCs w:val="32"/>
          <w:lang w:bidi="ar"/>
        </w:rPr>
      </w:pPr>
      <w:r>
        <w:rPr>
          <w:rFonts w:hint="eastAsia" w:ascii="仿宋_GB2312" w:hAnsi="仿宋_GB2312" w:eastAsia="仿宋_GB2312" w:cs="仿宋_GB2312"/>
          <w:color w:val="000000"/>
          <w:sz w:val="32"/>
          <w:szCs w:val="32"/>
          <w:lang w:bidi="ar"/>
        </w:rPr>
        <w:t>（5）报价方之间为谋取中标或者排斥特定报价方而采取的其他联合行动；</w:t>
      </w:r>
    </w:p>
    <w:p w14:paraId="189A56DF">
      <w:pPr>
        <w:snapToGrid w:val="0"/>
        <w:ind w:firstLine="640" w:firstLineChars="200"/>
        <w:rPr>
          <w:rFonts w:ascii="仿宋_GB2312" w:hAnsi="仿宋_GB2312" w:eastAsia="仿宋_GB2312" w:cs="仿宋_GB2312"/>
          <w:color w:val="000000"/>
          <w:sz w:val="32"/>
          <w:szCs w:val="32"/>
          <w:lang w:bidi="ar"/>
        </w:rPr>
      </w:pPr>
      <w:r>
        <w:rPr>
          <w:rFonts w:hint="eastAsia" w:ascii="仿宋_GB2312" w:hAnsi="仿宋_GB2312" w:eastAsia="仿宋_GB2312" w:cs="仿宋_GB2312"/>
          <w:color w:val="000000"/>
          <w:sz w:val="32"/>
          <w:szCs w:val="32"/>
          <w:lang w:bidi="ar"/>
        </w:rPr>
        <w:t>（6）不同报价方的报价文件由同一单位或者个人编制；</w:t>
      </w:r>
    </w:p>
    <w:p w14:paraId="58A8A581">
      <w:pPr>
        <w:snapToGrid w:val="0"/>
        <w:ind w:firstLine="640" w:firstLineChars="200"/>
        <w:rPr>
          <w:rFonts w:ascii="仿宋_GB2312" w:hAnsi="仿宋_GB2312" w:eastAsia="仿宋_GB2312" w:cs="仿宋_GB2312"/>
          <w:color w:val="000000"/>
          <w:sz w:val="32"/>
          <w:szCs w:val="32"/>
          <w:lang w:bidi="ar"/>
        </w:rPr>
      </w:pPr>
      <w:r>
        <w:rPr>
          <w:rFonts w:hint="eastAsia" w:ascii="仿宋_GB2312" w:hAnsi="仿宋_GB2312" w:eastAsia="仿宋_GB2312" w:cs="仿宋_GB2312"/>
          <w:color w:val="000000"/>
          <w:sz w:val="32"/>
          <w:szCs w:val="32"/>
          <w:lang w:bidi="ar"/>
        </w:rPr>
        <w:t>（7）不同报价方委托同一单位或者个人办理投标事宜；</w:t>
      </w:r>
    </w:p>
    <w:p w14:paraId="765C2329">
      <w:pPr>
        <w:snapToGrid w:val="0"/>
        <w:ind w:firstLine="640" w:firstLineChars="200"/>
        <w:rPr>
          <w:rFonts w:ascii="仿宋_GB2312" w:hAnsi="仿宋_GB2312" w:eastAsia="仿宋_GB2312" w:cs="仿宋_GB2312"/>
          <w:color w:val="000000"/>
          <w:sz w:val="32"/>
          <w:szCs w:val="32"/>
          <w:lang w:bidi="ar"/>
        </w:rPr>
      </w:pPr>
      <w:r>
        <w:rPr>
          <w:rFonts w:hint="eastAsia" w:ascii="仿宋_GB2312" w:hAnsi="仿宋_GB2312" w:eastAsia="仿宋_GB2312" w:cs="仿宋_GB2312"/>
          <w:color w:val="000000"/>
          <w:sz w:val="32"/>
          <w:szCs w:val="32"/>
          <w:lang w:bidi="ar"/>
        </w:rPr>
        <w:t>（8）不同报价方的报价文件载明的项目管理成员为同一人；</w:t>
      </w:r>
    </w:p>
    <w:p w14:paraId="4B40A914">
      <w:pPr>
        <w:snapToGrid w:val="0"/>
        <w:ind w:firstLine="640" w:firstLineChars="200"/>
        <w:rPr>
          <w:rFonts w:ascii="仿宋_GB2312" w:hAnsi="仿宋_GB2312" w:eastAsia="仿宋_GB2312" w:cs="仿宋_GB2312"/>
          <w:color w:val="000000"/>
          <w:sz w:val="32"/>
          <w:szCs w:val="32"/>
          <w:lang w:bidi="ar"/>
        </w:rPr>
      </w:pPr>
      <w:r>
        <w:rPr>
          <w:rFonts w:hint="eastAsia" w:ascii="仿宋_GB2312" w:hAnsi="仿宋_GB2312" w:eastAsia="仿宋_GB2312" w:cs="仿宋_GB2312"/>
          <w:color w:val="000000"/>
          <w:sz w:val="32"/>
          <w:szCs w:val="32"/>
          <w:lang w:bidi="ar"/>
        </w:rPr>
        <w:t>（9）不同报价方的报价文件异常一致或者报价呈规律性差异；</w:t>
      </w:r>
    </w:p>
    <w:p w14:paraId="7D75C985">
      <w:pPr>
        <w:snapToGrid w:val="0"/>
        <w:ind w:firstLine="640" w:firstLineChars="200"/>
        <w:rPr>
          <w:rFonts w:ascii="仿宋_GB2312" w:hAnsi="仿宋_GB2312" w:eastAsia="仿宋_GB2312" w:cs="仿宋_GB2312"/>
          <w:color w:val="000000"/>
          <w:sz w:val="32"/>
          <w:szCs w:val="32"/>
          <w:lang w:bidi="ar"/>
        </w:rPr>
      </w:pPr>
      <w:r>
        <w:rPr>
          <w:rFonts w:hint="eastAsia" w:ascii="仿宋_GB2312" w:hAnsi="仿宋_GB2312" w:eastAsia="仿宋_GB2312" w:cs="仿宋_GB2312"/>
          <w:color w:val="000000"/>
          <w:sz w:val="32"/>
          <w:szCs w:val="32"/>
          <w:lang w:bidi="ar"/>
        </w:rPr>
        <w:t>（10）不同报价方的报价文件相互混装；</w:t>
      </w:r>
    </w:p>
    <w:p w14:paraId="30E5B9B5">
      <w:pPr>
        <w:snapToGrid w:val="0"/>
        <w:ind w:firstLine="640" w:firstLineChars="200"/>
        <w:rPr>
          <w:rFonts w:ascii="仿宋_GB2312" w:hAnsi="仿宋_GB2312" w:eastAsia="仿宋_GB2312" w:cs="仿宋_GB2312"/>
          <w:color w:val="000000"/>
          <w:sz w:val="32"/>
          <w:szCs w:val="32"/>
          <w:lang w:bidi="ar"/>
        </w:rPr>
      </w:pPr>
      <w:r>
        <w:rPr>
          <w:rFonts w:hint="eastAsia" w:ascii="仿宋_GB2312" w:hAnsi="仿宋_GB2312" w:eastAsia="仿宋_GB2312" w:cs="仿宋_GB2312"/>
          <w:color w:val="000000"/>
          <w:sz w:val="32"/>
          <w:szCs w:val="32"/>
          <w:lang w:bidi="ar"/>
        </w:rPr>
        <w:t>（11）不同报价方的报价保证金从同一单位或者个人的账户转出。</w:t>
      </w:r>
    </w:p>
    <w:p w14:paraId="5ADA90D5">
      <w:pPr>
        <w:snapToGrid w:val="0"/>
        <w:rPr>
          <w:rFonts w:ascii="仿宋_GB2312" w:hAnsi="仿宋_GB2312" w:eastAsia="仿宋_GB2312" w:cs="仿宋_GB2312"/>
          <w:sz w:val="32"/>
          <w:szCs w:val="32"/>
        </w:rPr>
      </w:pPr>
    </w:p>
    <w:p w14:paraId="07B1FE02">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报价人：（公章）</w:t>
      </w:r>
    </w:p>
    <w:p w14:paraId="73BE97E6">
      <w:pPr>
        <w:ind w:left="5280" w:hanging="5280" w:hangingChars="165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 xml:space="preserve">         法定地址：</w:t>
      </w:r>
    </w:p>
    <w:p w14:paraId="74EDD7DE">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法定代表人或其</w:t>
      </w:r>
    </w:p>
    <w:p w14:paraId="6C97647C">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委托代理人：（签字）</w:t>
      </w:r>
    </w:p>
    <w:p w14:paraId="75AF14CD">
      <w:pPr>
        <w:rPr>
          <w:rFonts w:asciiTheme="minorEastAsia" w:hAnsiTheme="minorEastAsia" w:cstheme="minorEastAsia"/>
        </w:rPr>
      </w:pPr>
    </w:p>
    <w:p w14:paraId="22737BDF">
      <w:pPr>
        <w:pStyle w:val="2"/>
        <w:rPr>
          <w:rFonts w:hint="default"/>
        </w:rPr>
      </w:pPr>
    </w:p>
    <w:p w14:paraId="3FC6766F">
      <w:pPr>
        <w:pStyle w:val="4"/>
        <w:rPr>
          <w:rFonts w:hint="default"/>
        </w:rPr>
      </w:pPr>
    </w:p>
    <w:p w14:paraId="0C061590">
      <w:pPr>
        <w:pStyle w:val="4"/>
        <w:rPr>
          <w:rFonts w:hint="default"/>
        </w:rPr>
      </w:pPr>
    </w:p>
    <w:p w14:paraId="36633A34">
      <w:pPr>
        <w:pStyle w:val="4"/>
        <w:rPr>
          <w:rFonts w:hint="default"/>
        </w:rPr>
      </w:pPr>
    </w:p>
    <w:p w14:paraId="60BBA92C">
      <w:pPr>
        <w:pStyle w:val="4"/>
        <w:rPr>
          <w:rFonts w:hint="default"/>
        </w:rPr>
      </w:pPr>
    </w:p>
    <w:p w14:paraId="34E77FFD">
      <w:pPr>
        <w:pStyle w:val="4"/>
        <w:rPr>
          <w:rFonts w:hint="default"/>
        </w:rPr>
      </w:pPr>
    </w:p>
    <w:p w14:paraId="78B20D70">
      <w:pPr>
        <w:pStyle w:val="4"/>
        <w:rPr>
          <w:rFonts w:hint="default"/>
        </w:rPr>
      </w:pPr>
    </w:p>
    <w:p w14:paraId="23AC034B">
      <w:pPr>
        <w:pStyle w:val="4"/>
        <w:rPr>
          <w:rFonts w:hint="default"/>
        </w:rPr>
      </w:pPr>
    </w:p>
    <w:p w14:paraId="44758859">
      <w:pPr>
        <w:pStyle w:val="2"/>
        <w:rPr>
          <w:rFonts w:hint="default"/>
        </w:rPr>
      </w:pPr>
    </w:p>
    <w:p w14:paraId="36EB8346">
      <w:pPr>
        <w:spacing w:line="360" w:lineRule="auto"/>
        <w:jc w:val="left"/>
        <w:rPr>
          <w:rFonts w:hint="eastAsia" w:ascii="宋体" w:hAnsi="宋体"/>
          <w:sz w:val="28"/>
        </w:rPr>
      </w:pPr>
    </w:p>
    <w:p w14:paraId="778B4831">
      <w:pPr>
        <w:pStyle w:val="2"/>
        <w:rPr>
          <w:rFonts w:hint="default"/>
        </w:rPr>
      </w:pPr>
    </w:p>
    <w:sectPr>
      <w:pgSz w:w="11906" w:h="16838"/>
      <w:pgMar w:top="1270" w:right="1746" w:bottom="1100" w:left="15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9"/>
    <w:multiLevelType w:val="multilevel"/>
    <w:tmpl w:val="00000019"/>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E809D5"/>
    <w:rsid w:val="00012BA1"/>
    <w:rsid w:val="00114729"/>
    <w:rsid w:val="001209C7"/>
    <w:rsid w:val="001827DD"/>
    <w:rsid w:val="001C1640"/>
    <w:rsid w:val="001D2BA1"/>
    <w:rsid w:val="001E4038"/>
    <w:rsid w:val="00210E28"/>
    <w:rsid w:val="0021147E"/>
    <w:rsid w:val="00222C5A"/>
    <w:rsid w:val="002A0AF0"/>
    <w:rsid w:val="002D2AFC"/>
    <w:rsid w:val="0030142A"/>
    <w:rsid w:val="0035764B"/>
    <w:rsid w:val="00361538"/>
    <w:rsid w:val="003C1DAB"/>
    <w:rsid w:val="00464FB6"/>
    <w:rsid w:val="004661A7"/>
    <w:rsid w:val="004D1A70"/>
    <w:rsid w:val="005A7D61"/>
    <w:rsid w:val="00623BE6"/>
    <w:rsid w:val="0066162A"/>
    <w:rsid w:val="006766C9"/>
    <w:rsid w:val="00707AF8"/>
    <w:rsid w:val="0072398C"/>
    <w:rsid w:val="007F3EDF"/>
    <w:rsid w:val="0090099A"/>
    <w:rsid w:val="00980B6E"/>
    <w:rsid w:val="009B29F3"/>
    <w:rsid w:val="009D7F52"/>
    <w:rsid w:val="009F3CF5"/>
    <w:rsid w:val="00A45F50"/>
    <w:rsid w:val="00A561BB"/>
    <w:rsid w:val="00B74746"/>
    <w:rsid w:val="00BB16A4"/>
    <w:rsid w:val="00BE469E"/>
    <w:rsid w:val="00C728CD"/>
    <w:rsid w:val="00C76660"/>
    <w:rsid w:val="00D65B88"/>
    <w:rsid w:val="00DE771F"/>
    <w:rsid w:val="00F17A88"/>
    <w:rsid w:val="027C23CB"/>
    <w:rsid w:val="02846953"/>
    <w:rsid w:val="0298605E"/>
    <w:rsid w:val="03962305"/>
    <w:rsid w:val="03E5328D"/>
    <w:rsid w:val="04E11CA6"/>
    <w:rsid w:val="05A74F8E"/>
    <w:rsid w:val="05D47115"/>
    <w:rsid w:val="060A7E98"/>
    <w:rsid w:val="09040FBB"/>
    <w:rsid w:val="090E293E"/>
    <w:rsid w:val="09586959"/>
    <w:rsid w:val="09B554AF"/>
    <w:rsid w:val="0A4440FC"/>
    <w:rsid w:val="0AC57BE3"/>
    <w:rsid w:val="0CCF4BD0"/>
    <w:rsid w:val="0DD61B01"/>
    <w:rsid w:val="0EF95E3E"/>
    <w:rsid w:val="11AA463D"/>
    <w:rsid w:val="11BF6ECB"/>
    <w:rsid w:val="12C941EA"/>
    <w:rsid w:val="13336289"/>
    <w:rsid w:val="13561AB1"/>
    <w:rsid w:val="145A2EDB"/>
    <w:rsid w:val="14D709D0"/>
    <w:rsid w:val="15567A4F"/>
    <w:rsid w:val="15FC6940"/>
    <w:rsid w:val="16AC1846"/>
    <w:rsid w:val="16AD4D5E"/>
    <w:rsid w:val="17C821E7"/>
    <w:rsid w:val="1A847E44"/>
    <w:rsid w:val="1B9C2560"/>
    <w:rsid w:val="1CA900A3"/>
    <w:rsid w:val="1CCB354F"/>
    <w:rsid w:val="1DD43CFE"/>
    <w:rsid w:val="1E2662BB"/>
    <w:rsid w:val="1E8D1417"/>
    <w:rsid w:val="1F22546C"/>
    <w:rsid w:val="1F4800E9"/>
    <w:rsid w:val="1F6D4559"/>
    <w:rsid w:val="22123047"/>
    <w:rsid w:val="22D90573"/>
    <w:rsid w:val="22F015DA"/>
    <w:rsid w:val="23502240"/>
    <w:rsid w:val="23983A20"/>
    <w:rsid w:val="247C6E9E"/>
    <w:rsid w:val="249B7324"/>
    <w:rsid w:val="24F3690A"/>
    <w:rsid w:val="25FD7B6A"/>
    <w:rsid w:val="26760048"/>
    <w:rsid w:val="27070CA1"/>
    <w:rsid w:val="27CB43C4"/>
    <w:rsid w:val="282835C4"/>
    <w:rsid w:val="28AD5878"/>
    <w:rsid w:val="28F20B4F"/>
    <w:rsid w:val="29590C9E"/>
    <w:rsid w:val="29BF3AB4"/>
    <w:rsid w:val="2B7D59D5"/>
    <w:rsid w:val="2BA271EA"/>
    <w:rsid w:val="2DCC62A5"/>
    <w:rsid w:val="2E3A7BAD"/>
    <w:rsid w:val="2E57641F"/>
    <w:rsid w:val="2E644021"/>
    <w:rsid w:val="2EE144CD"/>
    <w:rsid w:val="2EEF4086"/>
    <w:rsid w:val="2F516FC7"/>
    <w:rsid w:val="30136908"/>
    <w:rsid w:val="33404181"/>
    <w:rsid w:val="360A3779"/>
    <w:rsid w:val="375A6BCB"/>
    <w:rsid w:val="37732382"/>
    <w:rsid w:val="381C0D78"/>
    <w:rsid w:val="3D6C2B1D"/>
    <w:rsid w:val="3D905845"/>
    <w:rsid w:val="3F4F4B62"/>
    <w:rsid w:val="3F8D10A2"/>
    <w:rsid w:val="4058639A"/>
    <w:rsid w:val="41557CBD"/>
    <w:rsid w:val="41717932"/>
    <w:rsid w:val="41D62A2D"/>
    <w:rsid w:val="459D1743"/>
    <w:rsid w:val="45C86472"/>
    <w:rsid w:val="47BE31A6"/>
    <w:rsid w:val="47DF7817"/>
    <w:rsid w:val="4DAB4BAF"/>
    <w:rsid w:val="4DF7034E"/>
    <w:rsid w:val="4F2C7FD6"/>
    <w:rsid w:val="4F94680E"/>
    <w:rsid w:val="50DA0CCD"/>
    <w:rsid w:val="51911388"/>
    <w:rsid w:val="5436097A"/>
    <w:rsid w:val="543F20EB"/>
    <w:rsid w:val="54482775"/>
    <w:rsid w:val="54BF40B9"/>
    <w:rsid w:val="565E57F8"/>
    <w:rsid w:val="57F51F09"/>
    <w:rsid w:val="58B33F35"/>
    <w:rsid w:val="59254E33"/>
    <w:rsid w:val="5B4812AC"/>
    <w:rsid w:val="5B654070"/>
    <w:rsid w:val="5B757024"/>
    <w:rsid w:val="5BAA5AC3"/>
    <w:rsid w:val="5BC76675"/>
    <w:rsid w:val="5DB74000"/>
    <w:rsid w:val="5F957FF1"/>
    <w:rsid w:val="5FE377F5"/>
    <w:rsid w:val="60FF240D"/>
    <w:rsid w:val="614813F8"/>
    <w:rsid w:val="61C50A3D"/>
    <w:rsid w:val="623F25B5"/>
    <w:rsid w:val="63CD35C0"/>
    <w:rsid w:val="63D94EDB"/>
    <w:rsid w:val="63E31B72"/>
    <w:rsid w:val="648E327A"/>
    <w:rsid w:val="64EB67CE"/>
    <w:rsid w:val="652C716E"/>
    <w:rsid w:val="65470368"/>
    <w:rsid w:val="66E70B06"/>
    <w:rsid w:val="67461FC9"/>
    <w:rsid w:val="68EC2674"/>
    <w:rsid w:val="6979471D"/>
    <w:rsid w:val="6A2E3A98"/>
    <w:rsid w:val="6A413D5A"/>
    <w:rsid w:val="6A7D71ED"/>
    <w:rsid w:val="6B1A494C"/>
    <w:rsid w:val="6B2D401B"/>
    <w:rsid w:val="6C224890"/>
    <w:rsid w:val="6D8B6DD7"/>
    <w:rsid w:val="6DD56E3A"/>
    <w:rsid w:val="6E421B8B"/>
    <w:rsid w:val="6E7206C2"/>
    <w:rsid w:val="6E763BDC"/>
    <w:rsid w:val="6E8C7032"/>
    <w:rsid w:val="6F216AC5"/>
    <w:rsid w:val="70BD199D"/>
    <w:rsid w:val="70E809D5"/>
    <w:rsid w:val="722B561F"/>
    <w:rsid w:val="727F7ED1"/>
    <w:rsid w:val="73B04C2B"/>
    <w:rsid w:val="742100F6"/>
    <w:rsid w:val="74E92D60"/>
    <w:rsid w:val="74F51705"/>
    <w:rsid w:val="750C18A9"/>
    <w:rsid w:val="752C0E9F"/>
    <w:rsid w:val="765C57B4"/>
    <w:rsid w:val="767E397C"/>
    <w:rsid w:val="769C07B3"/>
    <w:rsid w:val="775C3DDE"/>
    <w:rsid w:val="78486EB9"/>
    <w:rsid w:val="793B3DA7"/>
    <w:rsid w:val="79986598"/>
    <w:rsid w:val="7CCD6C4F"/>
    <w:rsid w:val="7D755AD9"/>
    <w:rsid w:val="7DC54E89"/>
    <w:rsid w:val="7F1C4330"/>
    <w:rsid w:val="7F482CAC"/>
    <w:rsid w:val="7F941A9D"/>
    <w:rsid w:val="7FC11F84"/>
    <w:rsid w:val="7FD50A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spacing w:before="100" w:beforeAutospacing="1" w:after="100" w:afterAutospacing="1"/>
      <w:jc w:val="left"/>
      <w:outlineLvl w:val="2"/>
    </w:pPr>
    <w:rPr>
      <w:rFonts w:hint="eastAsia" w:ascii="宋体" w:hAnsi="宋体" w:eastAsia="宋体" w:cs="Times New Roman"/>
      <w:b/>
      <w:kern w:val="0"/>
      <w:sz w:val="27"/>
      <w:szCs w:val="27"/>
    </w:rPr>
  </w:style>
  <w:style w:type="paragraph" w:styleId="3">
    <w:name w:val="heading 4"/>
    <w:basedOn w:val="1"/>
    <w:next w:val="1"/>
    <w:qFormat/>
    <w:uiPriority w:val="0"/>
    <w:pPr>
      <w:keepNext/>
      <w:keepLines/>
      <w:spacing w:before="120" w:beforeLines="0" w:after="120" w:afterLines="0" w:line="360" w:lineRule="auto"/>
      <w:jc w:val="center"/>
      <w:outlineLvl w:val="3"/>
    </w:pPr>
    <w:rPr>
      <w:rFonts w:ascii="Arial" w:hAnsi="Arial" w:eastAsia="黑体"/>
      <w:sz w:val="28"/>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szCs w:val="20"/>
    </w:rPr>
  </w:style>
  <w:style w:type="paragraph" w:styleId="5">
    <w:name w:val="Body Text"/>
    <w:basedOn w:val="1"/>
    <w:next w:val="6"/>
    <w:qFormat/>
    <w:uiPriority w:val="0"/>
    <w:pPr>
      <w:spacing w:after="120" w:line="240" w:lineRule="auto"/>
      <w:ind w:firstLine="640" w:firstLineChars="200"/>
    </w:pPr>
    <w:rPr>
      <w:rFonts w:ascii="Calibri" w:hAnsi="Calibri" w:eastAsia="仿宋" w:cs="Times New Roman"/>
      <w:sz w:val="28"/>
      <w:szCs w:val="24"/>
    </w:rPr>
  </w:style>
  <w:style w:type="paragraph" w:styleId="6">
    <w:name w:val="Body Text 2"/>
    <w:basedOn w:val="1"/>
    <w:unhideWhenUsed/>
    <w:qFormat/>
    <w:uiPriority w:val="0"/>
    <w:pPr>
      <w:spacing w:after="120" w:line="480" w:lineRule="auto"/>
    </w:pPr>
    <w:rPr>
      <w:rFonts w:ascii="仿宋_GB2312" w:eastAsia="仿宋_GB2312" w:cs="Times New Roman"/>
      <w:sz w:val="28"/>
      <w:szCs w:val="20"/>
    </w:rPr>
  </w:style>
  <w:style w:type="paragraph" w:styleId="7">
    <w:name w:val="Plain Text"/>
    <w:basedOn w:val="1"/>
    <w:qFormat/>
    <w:uiPriority w:val="0"/>
    <w:rPr>
      <w:rFonts w:ascii="宋体" w:hAnsi="Courier New"/>
      <w:szCs w:val="20"/>
    </w:rPr>
  </w:style>
  <w:style w:type="paragraph" w:styleId="8">
    <w:name w:val="Balloon Text"/>
    <w:basedOn w:val="1"/>
    <w:link w:val="18"/>
    <w:qFormat/>
    <w:uiPriority w:val="0"/>
    <w:rPr>
      <w:sz w:val="18"/>
      <w:szCs w:val="18"/>
    </w:rPr>
  </w:style>
  <w:style w:type="paragraph" w:styleId="9">
    <w:name w:val="footer"/>
    <w:basedOn w:val="1"/>
    <w:link w:val="17"/>
    <w:qFormat/>
    <w:uiPriority w:val="0"/>
    <w:pPr>
      <w:tabs>
        <w:tab w:val="center" w:pos="4153"/>
        <w:tab w:val="right" w:pos="8306"/>
      </w:tabs>
      <w:snapToGrid w:val="0"/>
      <w:jc w:val="left"/>
    </w:pPr>
    <w:rPr>
      <w:sz w:val="18"/>
      <w:szCs w:val="18"/>
    </w:rPr>
  </w:style>
  <w:style w:type="paragraph" w:styleId="10">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正文格式"/>
    <w:basedOn w:val="1"/>
    <w:qFormat/>
    <w:uiPriority w:val="0"/>
    <w:pPr>
      <w:adjustRightInd w:val="0"/>
      <w:snapToGrid w:val="0"/>
      <w:spacing w:line="400" w:lineRule="atLeast"/>
      <w:ind w:firstLine="482"/>
    </w:pPr>
    <w:rPr>
      <w:kern w:val="0"/>
      <w:sz w:val="24"/>
    </w:rPr>
  </w:style>
  <w:style w:type="character" w:customStyle="1" w:styleId="16">
    <w:name w:val="页眉 Char"/>
    <w:basedOn w:val="14"/>
    <w:link w:val="10"/>
    <w:qFormat/>
    <w:uiPriority w:val="0"/>
    <w:rPr>
      <w:kern w:val="2"/>
      <w:sz w:val="18"/>
      <w:szCs w:val="18"/>
    </w:rPr>
  </w:style>
  <w:style w:type="character" w:customStyle="1" w:styleId="17">
    <w:name w:val="页脚 Char"/>
    <w:basedOn w:val="14"/>
    <w:link w:val="9"/>
    <w:qFormat/>
    <w:uiPriority w:val="0"/>
    <w:rPr>
      <w:kern w:val="2"/>
      <w:sz w:val="18"/>
      <w:szCs w:val="18"/>
    </w:rPr>
  </w:style>
  <w:style w:type="character" w:customStyle="1" w:styleId="18">
    <w:name w:val="批注框文本 Char"/>
    <w:basedOn w:val="14"/>
    <w:link w:val="8"/>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26</Pages>
  <Words>196</Words>
  <Characters>201</Characters>
  <Lines>29</Lines>
  <Paragraphs>8</Paragraphs>
  <TotalTime>1</TotalTime>
  <ScaleCrop>false</ScaleCrop>
  <LinksUpToDate>false</LinksUpToDate>
  <CharactersWithSpaces>206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2025-04-13T07:12:00Z</dcterms:created>
  <dc:creator>赵伟</dc:creator>
  <cp:lastModifiedBy>胡永平</cp:lastModifiedBy>
  <cp:lastPrinted>2025-07-23T00:44:00Z</cp:lastPrinted>
  <dcterms:modified xsi:type="dcterms:W3CDTF">2025-10-20T08:44:51Z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FFF56234D18C4C6E82B344861F2E86F4_11</vt:lpwstr>
  </property>
  <property fmtid="{D5CDD505-2E9C-101B-9397-08002B2CF9AE}" pid="4" name="KSOTemplateDocerSaveRecord">
    <vt:lpwstr>eyJoZGlkIjoiMzFiZGY5MDFiYWIwZTNhNzRkNjJjNTk0ZDMyMGY0NTIiLCJ1c2VySWQiOiIxNjk4NTU3MzQzIn0=</vt:lpwstr>
  </property>
</Properties>
</file>