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等小区内DN50至DN200旧管道11.8公里及管道附属设施等。改造热电厂西侧路口至南港工业区、光明大道至炼油厂等市政道路管网DN400至DN1000旧管道6.6公里及管道附属设施等；本次采购内容详见报价清单</w:t>
            </w:r>
            <w:r>
              <w:rPr>
                <w:rFonts w:hint="eastAsia" w:asciiTheme="minorEastAsia" w:hAnsiTheme="minorEastAsia" w:eastAsiaTheme="minorEastAsia" w:cstheme="minorEastAsia"/>
                <w:color w:val="auto"/>
                <w:vertAlign w:val="baseline"/>
                <w:lang w:val="en-US" w:eastAsia="zh-CN"/>
              </w:rPr>
              <w:fldChar w:fldCharType="end"/>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2121F7C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2.1：具有营业执照副本，具有良好的商业信誉，提供有效期内的资信证明文件且经营范围包含服务相关内容；</w:t>
            </w:r>
          </w:p>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w:t>
            </w:r>
            <w:r>
              <w:rPr>
                <w:rFonts w:hint="eastAsia" w:asciiTheme="minorEastAsia" w:hAnsiTheme="minorEastAsia" w:eastAsiaTheme="minorEastAsia" w:cstheme="minorEastAsia"/>
                <w:color w:val="auto"/>
                <w:vertAlign w:val="baseline"/>
                <w:lang w:val="en-US" w:eastAsia="zh-CN"/>
              </w:rPr>
              <w:t>：具有机械租赁相关</w:t>
            </w:r>
            <w:r>
              <w:rPr>
                <w:rFonts w:hint="eastAsia" w:asciiTheme="minorEastAsia" w:hAnsiTheme="minorEastAsia" w:cstheme="minorEastAsia"/>
                <w:color w:val="auto"/>
                <w:vertAlign w:val="baseline"/>
                <w:lang w:val="en-US" w:eastAsia="zh-CN"/>
              </w:rPr>
              <w:t>经营范围</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2025年09月28日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2025年10月10日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10时30分</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148</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2025年09月28日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2025年10月10日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10时30分</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2025年09月28日</w:t>
      </w:r>
      <w:r>
        <w:rPr>
          <w:rFonts w:hint="eastAsia" w:asciiTheme="minorEastAsia" w:hAnsiTheme="minorEastAsia" w:cstheme="minorEastAsia"/>
          <w:color w:val="auto"/>
          <w:lang w:val="en-US" w:eastAsia="zh-CN"/>
        </w:rPr>
        <w:fldChar w:fldCharType="end"/>
      </w:r>
    </w:p>
    <w:p w14:paraId="564E46ED">
      <w:pPr>
        <w:rPr>
          <w:color w:val="auto"/>
        </w:rPr>
      </w:pPr>
    </w:p>
    <w:p w14:paraId="642CF7A9">
      <w:pPr>
        <w:rPr>
          <w:color w:val="auto"/>
        </w:rPr>
      </w:pPr>
    </w:p>
    <w:p w14:paraId="3BB2955D">
      <w:pPr>
        <w:rPr>
          <w:color w:val="auto"/>
        </w:rPr>
      </w:pP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滨海新区，本项目主要内容为：改造南春园等小区内DN50至DN200旧管道11.8公里及管道附属设施等。改造热电厂西侧路口至南港工业区、光明大道至炼油厂等市政道路管网DN400至DN1000旧管道6.6公里及管道附属设施等；本次采购内容详见报价清单</w:t>
            </w:r>
            <w:r>
              <w:rPr>
                <w:rFonts w:hint="eastAsia" w:asciiTheme="minorEastAsia" w:hAnsiTheme="minorEastAsia" w:eastAsiaTheme="minorEastAsia" w:cstheme="minorEastAsia"/>
                <w:color w:val="auto"/>
                <w:vertAlign w:val="baseline"/>
                <w:lang w:val="en-US" w:eastAsia="zh-CN"/>
              </w:rPr>
              <w:fldChar w:fldCharType="end"/>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15D51E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2.1：具有营业执照副本</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具有良好的商业信誉，提供有效期内的资信证明文件且经营范围包含服务相关内容；</w:t>
            </w:r>
          </w:p>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2.2：具有机械租赁相关</w:t>
            </w:r>
            <w:r>
              <w:rPr>
                <w:rFonts w:hint="eastAsia" w:asciiTheme="minorEastAsia" w:hAnsiTheme="minorEastAsia" w:cstheme="minorEastAsia"/>
                <w:color w:val="auto"/>
                <w:vertAlign w:val="baseline"/>
                <w:lang w:val="en-US" w:eastAsia="zh-CN"/>
              </w:rPr>
              <w:t>经营范围</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148</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2025年09月28日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2025年10月10日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10时30分</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2025年10月10日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10时30分</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2025年09月28日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11</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2025年10月10日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10时30分</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458</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2.2报价单位应打印设备租赁服务承诺书（附件6）</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2025年09月28日</w:t>
      </w:r>
      <w:r>
        <w:rPr>
          <w:rFonts w:hint="eastAsia" w:asciiTheme="minorEastAsia" w:hAnsiTheme="minorEastAsia" w:cstheme="minorEastAsia"/>
          <w:color w:val="auto"/>
          <w:lang w:val="en-US" w:eastAsia="zh-CN"/>
        </w:rPr>
        <w:fldChar w:fldCharType="end"/>
      </w:r>
    </w:p>
    <w:p w14:paraId="23F4819E">
      <w:pPr>
        <w:rPr>
          <w:color w:val="auto"/>
        </w:rPr>
      </w:pPr>
    </w:p>
    <w:p w14:paraId="73E19B50">
      <w:pPr>
        <w:rPr>
          <w:color w:val="auto"/>
        </w:rPr>
      </w:pPr>
    </w:p>
    <w:p w14:paraId="39FCAAB7">
      <w:pPr>
        <w:rPr>
          <w:color w:val="auto"/>
        </w:rPr>
      </w:pPr>
    </w:p>
    <w:p w14:paraId="0D1D9EE9">
      <w:pPr>
        <w:rPr>
          <w:color w:val="auto"/>
        </w:rPr>
      </w:pPr>
    </w:p>
    <w:p w14:paraId="63E2A89D">
      <w:pPr>
        <w:rPr>
          <w:color w:val="auto"/>
        </w:rPr>
      </w:pPr>
    </w:p>
    <w:p w14:paraId="183653E6">
      <w:pPr>
        <w:rPr>
          <w:color w:val="auto"/>
        </w:rPr>
      </w:pPr>
    </w:p>
    <w:p w14:paraId="56B3877D">
      <w:pPr>
        <w:rPr>
          <w:color w:val="auto"/>
        </w:rPr>
      </w:pPr>
    </w:p>
    <w:p w14:paraId="02EEEA9F">
      <w:pPr>
        <w:rPr>
          <w:color w:val="auto"/>
        </w:rPr>
      </w:pPr>
    </w:p>
    <w:p w14:paraId="1F45038D">
      <w:pPr>
        <w:rPr>
          <w:color w:val="auto"/>
        </w:rPr>
      </w:pPr>
    </w:p>
    <w:p w14:paraId="6B626532">
      <w:pPr>
        <w:rPr>
          <w:color w:val="auto"/>
        </w:rPr>
      </w:pPr>
    </w:p>
    <w:p w14:paraId="7DC924EB">
      <w:pPr>
        <w:rPr>
          <w:color w:val="auto"/>
        </w:rPr>
      </w:pPr>
    </w:p>
    <w:p w14:paraId="31D56CE9">
      <w:pPr>
        <w:rPr>
          <w:color w:val="auto"/>
        </w:rPr>
      </w:pPr>
    </w:p>
    <w:p w14:paraId="7124B4BC">
      <w:pPr>
        <w:rPr>
          <w:color w:val="auto"/>
        </w:rPr>
      </w:pPr>
    </w:p>
    <w:p w14:paraId="254C83BC">
      <w:pPr>
        <w:rPr>
          <w:color w:val="auto"/>
        </w:rPr>
      </w:pPr>
    </w:p>
    <w:p w14:paraId="55751EF7">
      <w:pPr>
        <w:rPr>
          <w:color w:val="auto"/>
        </w:rPr>
      </w:pPr>
    </w:p>
    <w:p w14:paraId="0BECAE02">
      <w:pPr>
        <w:rPr>
          <w:color w:val="auto"/>
        </w:rPr>
      </w:pPr>
    </w:p>
    <w:p w14:paraId="2FD0A2C6">
      <w:pPr>
        <w:rPr>
          <w:color w:val="auto"/>
        </w:rPr>
      </w:pPr>
    </w:p>
    <w:p w14:paraId="0E196C56">
      <w:pPr>
        <w:rPr>
          <w:color w:val="auto"/>
        </w:rPr>
      </w:pPr>
    </w:p>
    <w:p w14:paraId="4C7F7113">
      <w:pPr>
        <w:rPr>
          <w:color w:val="auto"/>
        </w:rPr>
      </w:pPr>
    </w:p>
    <w:p w14:paraId="33901707">
      <w:pPr>
        <w:rPr>
          <w:color w:val="auto"/>
        </w:rPr>
      </w:pPr>
    </w:p>
    <w:p w14:paraId="10B5CCE9">
      <w:pPr>
        <w:rPr>
          <w:color w:val="auto"/>
        </w:rPr>
      </w:pP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4AEF08C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96183E2">
      <w:pPr>
        <w:spacing w:line="360" w:lineRule="auto"/>
        <w:rPr>
          <w:rFonts w:hint="eastAsia" w:ascii="微软雅黑" w:hAnsi="微软雅黑" w:eastAsia="微软雅黑" w:cs="微软雅黑"/>
          <w:b/>
          <w:color w:val="auto"/>
          <w:sz w:val="21"/>
          <w:szCs w:val="21"/>
          <w:highlight w:val="none"/>
        </w:rPr>
      </w:pPr>
    </w:p>
    <w:p w14:paraId="5B684461">
      <w:pPr>
        <w:spacing w:line="360" w:lineRule="auto"/>
        <w:jc w:val="right"/>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2DC736CE">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7B7F125E">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56DC74C6">
      <w:pPr>
        <w:pStyle w:val="3"/>
        <w:spacing w:before="169" w:line="222" w:lineRule="auto"/>
        <w:ind w:left="4297"/>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kern w:val="2"/>
          <w:sz w:val="21"/>
          <w:szCs w:val="21"/>
          <w:lang w:val="en-US" w:eastAsia="zh-CN" w:bidi="ar-SA"/>
        </w:rPr>
        <w:t>答 复 函</w:t>
      </w:r>
    </w:p>
    <w:p w14:paraId="5AEA98C5">
      <w:pPr>
        <w:pStyle w:val="3"/>
        <w:spacing w:before="69" w:line="221" w:lineRule="auto"/>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25"/>
          <w:sz w:val="21"/>
          <w:szCs w:val="21"/>
        </w:rPr>
        <w:t>工程项目名称：</w:t>
      </w:r>
      <w:r>
        <w:rPr>
          <w:rFonts w:hint="eastAsia" w:ascii="微软雅黑" w:hAnsi="微软雅黑" w:eastAsia="微软雅黑" w:cs="微软雅黑"/>
          <w:color w:val="auto"/>
          <w:spacing w:val="25"/>
          <w:sz w:val="21"/>
          <w:szCs w:val="21"/>
          <w:lang w:eastAsia="zh-CN"/>
        </w:rPr>
        <w:fldChar w:fldCharType="begin"/>
      </w:r>
      <w:r>
        <w:rPr>
          <w:rFonts w:hint="eastAsia" w:ascii="微软雅黑" w:hAnsi="微软雅黑" w:eastAsia="微软雅黑" w:cs="微软雅黑"/>
          <w:color w:val="auto"/>
          <w:spacing w:val="25"/>
          <w:sz w:val="21"/>
          <w:szCs w:val="21"/>
          <w:lang w:eastAsia="zh-CN"/>
        </w:rPr>
        <w:instrText xml:space="preserve"> MERGEFIELD "项目名称" </w:instrText>
      </w:r>
      <w:r>
        <w:rPr>
          <w:rFonts w:hint="eastAsia" w:ascii="微软雅黑" w:hAnsi="微软雅黑" w:eastAsia="微软雅黑" w:cs="微软雅黑"/>
          <w:color w:val="auto"/>
          <w:spacing w:val="25"/>
          <w:sz w:val="21"/>
          <w:szCs w:val="21"/>
          <w:lang w:eastAsia="zh-CN"/>
        </w:rPr>
        <w:fldChar w:fldCharType="separate"/>
      </w:r>
      <w:r>
        <w:rPr>
          <w:rFonts w:hint="eastAsia" w:ascii="微软雅黑" w:hAnsi="微软雅黑" w:eastAsia="微软雅黑" w:cs="微软雅黑"/>
          <w:color w:val="auto"/>
          <w:spacing w:val="25"/>
          <w:sz w:val="21"/>
          <w:szCs w:val="21"/>
          <w:lang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微软雅黑" w:hAnsi="微软雅黑" w:eastAsia="微软雅黑" w:cs="微软雅黑"/>
          <w:color w:val="auto"/>
          <w:spacing w:val="25"/>
          <w:sz w:val="21"/>
          <w:szCs w:val="21"/>
          <w:lang w:eastAsia="zh-CN"/>
        </w:rPr>
        <w:fldChar w:fldCharType="end"/>
      </w:r>
    </w:p>
    <w:p w14:paraId="441F7451">
      <w:pPr>
        <w:pStyle w:val="3"/>
        <w:spacing w:before="69" w:line="221" w:lineRule="auto"/>
        <w:rPr>
          <w:rFonts w:hint="eastAsia" w:ascii="微软雅黑" w:hAnsi="微软雅黑" w:eastAsia="微软雅黑" w:cs="微软雅黑"/>
          <w:color w:val="auto"/>
          <w:spacing w:val="25"/>
          <w:sz w:val="21"/>
          <w:szCs w:val="21"/>
          <w:lang w:val="en-US" w:eastAsia="zh-CN"/>
        </w:rPr>
      </w:pPr>
      <w:r>
        <w:rPr>
          <w:rFonts w:hint="eastAsia" w:ascii="微软雅黑" w:hAnsi="微软雅黑" w:eastAsia="微软雅黑" w:cs="微软雅黑"/>
          <w:color w:val="auto"/>
          <w:spacing w:val="25"/>
          <w:sz w:val="21"/>
          <w:szCs w:val="21"/>
        </w:rPr>
        <w:t>询价单位：</w:t>
      </w:r>
      <w:r>
        <w:rPr>
          <w:rFonts w:hint="eastAsia" w:ascii="微软雅黑" w:hAnsi="微软雅黑" w:eastAsia="微软雅黑" w:cs="微软雅黑"/>
          <w:color w:val="auto"/>
          <w:spacing w:val="25"/>
          <w:sz w:val="21"/>
          <w:szCs w:val="21"/>
          <w:lang w:val="en-US" w:eastAsia="zh-CN"/>
        </w:rPr>
        <w:t>天津市管道工程集团有限公司第三分公司</w:t>
      </w:r>
    </w:p>
    <w:p w14:paraId="60F35068">
      <w:pPr>
        <w:pStyle w:val="3"/>
        <w:keepNext w:val="0"/>
        <w:keepLines w:val="0"/>
        <w:pageBreakBefore w:val="0"/>
        <w:widowControl w:val="0"/>
        <w:kinsoku/>
        <w:wordWrap/>
        <w:overflowPunct/>
        <w:topLinePunct w:val="0"/>
        <w:autoSpaceDE/>
        <w:autoSpaceDN/>
        <w:bidi w:val="0"/>
        <w:adjustRightInd/>
        <w:snapToGrid/>
        <w:spacing w:before="68" w:line="320" w:lineRule="exact"/>
        <w:ind w:right="4564"/>
        <w:textAlignment w:val="auto"/>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8"/>
          <w:sz w:val="21"/>
          <w:szCs w:val="21"/>
        </w:rPr>
        <w:t>报价清单：</w:t>
      </w:r>
    </w:p>
    <w:p w14:paraId="661B64C1">
      <w:pPr>
        <w:adjustRightInd w:val="0"/>
        <w:snapToGrid w:val="0"/>
        <w:spacing w:line="360" w:lineRule="auto"/>
        <w:rPr>
          <w:rFonts w:hint="eastAsia" w:ascii="宋体" w:hAnsi="宋体"/>
          <w:b/>
          <w:color w:val="auto"/>
          <w:szCs w:val="21"/>
        </w:rPr>
      </w:pPr>
    </w:p>
    <w:tbl>
      <w:tblPr>
        <w:tblStyle w:val="5"/>
        <w:tblW w:w="0" w:type="auto"/>
        <w:jc w:val="center"/>
        <w:tblLayout w:type="autofit"/>
        <w:tblCellMar>
          <w:top w:w="0" w:type="dxa"/>
          <w:left w:w="108" w:type="dxa"/>
          <w:bottom w:w="0" w:type="dxa"/>
          <w:right w:w="108" w:type="dxa"/>
        </w:tblCellMar>
      </w:tblPr>
      <w:tblGrid>
        <w:gridCol w:w="636"/>
        <w:gridCol w:w="1056"/>
        <w:gridCol w:w="1056"/>
        <w:gridCol w:w="636"/>
        <w:gridCol w:w="636"/>
        <w:gridCol w:w="1056"/>
        <w:gridCol w:w="636"/>
        <w:gridCol w:w="1216"/>
        <w:gridCol w:w="636"/>
      </w:tblGrid>
      <w:tr w14:paraId="49602014">
        <w:tblPrEx>
          <w:tblCellMar>
            <w:top w:w="0" w:type="dxa"/>
            <w:left w:w="108" w:type="dxa"/>
            <w:bottom w:w="0" w:type="dxa"/>
            <w:right w:w="108" w:type="dxa"/>
          </w:tblCellMar>
        </w:tblPrEx>
        <w:trPr>
          <w:trHeight w:val="285" w:hRule="atLeast"/>
          <w:jc w:val="center"/>
        </w:trPr>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35AE57E5">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序号</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544CE25F">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lang w:eastAsia="zh-CN"/>
              </w:rPr>
            </w:pPr>
            <w:r>
              <w:rPr>
                <w:rFonts w:hint="eastAsia" w:ascii="微软雅黑" w:hAnsi="微软雅黑" w:eastAsia="微软雅黑" w:cs="微软雅黑"/>
                <w:color w:val="auto"/>
                <w:kern w:val="0"/>
                <w:sz w:val="21"/>
                <w:szCs w:val="21"/>
              </w:rPr>
              <w:t>设备名称</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0FFFE897">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规格型号</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72F8D635">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数量</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1E6FD100">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台数</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76FCFF88">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使用地点</w:t>
            </w:r>
          </w:p>
        </w:tc>
        <w:tc>
          <w:tcPr>
            <w:tcW w:w="0" w:type="auto"/>
            <w:vMerge w:val="restart"/>
            <w:tcBorders>
              <w:top w:val="single" w:color="auto" w:sz="4" w:space="0"/>
              <w:left w:val="single" w:color="auto" w:sz="4" w:space="0"/>
              <w:bottom w:val="single" w:color="auto" w:sz="4" w:space="0"/>
              <w:right w:val="single" w:color="auto" w:sz="4" w:space="0"/>
            </w:tcBorders>
            <w:noWrap w:val="0"/>
            <w:vAlign w:val="center"/>
          </w:tcPr>
          <w:p w14:paraId="026F19B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用途</w:t>
            </w:r>
          </w:p>
        </w:tc>
        <w:tc>
          <w:tcPr>
            <w:tcW w:w="0" w:type="auto"/>
            <w:gridSpan w:val="2"/>
            <w:tcBorders>
              <w:top w:val="single" w:color="auto" w:sz="4" w:space="0"/>
              <w:left w:val="nil"/>
              <w:bottom w:val="single" w:color="auto" w:sz="4" w:space="0"/>
              <w:right w:val="single" w:color="auto" w:sz="4" w:space="0"/>
            </w:tcBorders>
            <w:noWrap w:val="0"/>
            <w:vAlign w:val="center"/>
          </w:tcPr>
          <w:p w14:paraId="02BD789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租金</w:t>
            </w:r>
          </w:p>
        </w:tc>
      </w:tr>
      <w:tr w14:paraId="151511C4">
        <w:tblPrEx>
          <w:tblCellMar>
            <w:top w:w="0" w:type="dxa"/>
            <w:left w:w="108" w:type="dxa"/>
            <w:bottom w:w="0" w:type="dxa"/>
            <w:right w:w="108" w:type="dxa"/>
          </w:tblCellMar>
        </w:tblPrEx>
        <w:trPr>
          <w:trHeight w:val="28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60A6594B">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832897F">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67297FF8">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18694B3">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96BFA70">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BEF5B74">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333EEB86">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微软雅黑" w:hAnsi="微软雅黑" w:eastAsia="微软雅黑" w:cs="微软雅黑"/>
                <w:color w:val="auto"/>
                <w:kern w:val="0"/>
                <w:sz w:val="21"/>
                <w:szCs w:val="21"/>
              </w:rPr>
            </w:pPr>
          </w:p>
        </w:tc>
        <w:tc>
          <w:tcPr>
            <w:tcW w:w="0" w:type="auto"/>
            <w:tcBorders>
              <w:top w:val="nil"/>
              <w:left w:val="nil"/>
              <w:bottom w:val="single" w:color="auto" w:sz="4" w:space="0"/>
              <w:right w:val="single" w:color="auto" w:sz="4" w:space="0"/>
            </w:tcBorders>
            <w:noWrap w:val="0"/>
            <w:vAlign w:val="center"/>
          </w:tcPr>
          <w:p w14:paraId="27BE893C">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租金标准</w:t>
            </w:r>
          </w:p>
          <w:p w14:paraId="7955F94F">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lang w:val="en-US" w:eastAsia="zh-CN"/>
              </w:rPr>
            </w:pPr>
            <w:r>
              <w:rPr>
                <w:rFonts w:hint="eastAsia" w:ascii="微软雅黑" w:hAnsi="微软雅黑" w:eastAsia="微软雅黑" w:cs="微软雅黑"/>
                <w:color w:val="auto"/>
                <w:kern w:val="0"/>
                <w:sz w:val="21"/>
                <w:szCs w:val="21"/>
                <w:lang w:val="en-US" w:eastAsia="zh-CN"/>
              </w:rPr>
              <w:t>(台班/元）</w:t>
            </w:r>
          </w:p>
        </w:tc>
        <w:tc>
          <w:tcPr>
            <w:tcW w:w="0" w:type="auto"/>
            <w:tcBorders>
              <w:top w:val="nil"/>
              <w:left w:val="nil"/>
              <w:bottom w:val="single" w:color="auto" w:sz="4" w:space="0"/>
              <w:right w:val="single" w:color="auto" w:sz="4" w:space="0"/>
            </w:tcBorders>
            <w:noWrap w:val="0"/>
            <w:vAlign w:val="center"/>
          </w:tcPr>
          <w:p w14:paraId="7DDBC69C">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kern w:val="0"/>
                <w:sz w:val="21"/>
                <w:szCs w:val="21"/>
              </w:rPr>
            </w:pPr>
            <w:r>
              <w:rPr>
                <w:rFonts w:hint="eastAsia" w:ascii="微软雅黑" w:hAnsi="微软雅黑" w:eastAsia="微软雅黑" w:cs="微软雅黑"/>
                <w:color w:val="auto"/>
                <w:kern w:val="0"/>
                <w:sz w:val="21"/>
                <w:szCs w:val="21"/>
              </w:rPr>
              <w:t>合计</w:t>
            </w:r>
          </w:p>
        </w:tc>
      </w:tr>
      <w:tr w14:paraId="4AA3D44C">
        <w:tblPrEx>
          <w:tblCellMar>
            <w:top w:w="0" w:type="dxa"/>
            <w:left w:w="108" w:type="dxa"/>
            <w:bottom w:w="0" w:type="dxa"/>
            <w:right w:w="108" w:type="dxa"/>
          </w:tblCellMar>
        </w:tblPrEx>
        <w:trPr>
          <w:trHeight w:val="546" w:hRule="atLeast"/>
          <w:jc w:val="center"/>
        </w:trPr>
        <w:tc>
          <w:tcPr>
            <w:tcW w:w="0" w:type="auto"/>
            <w:tcBorders>
              <w:top w:val="nil"/>
              <w:left w:val="single" w:color="auto" w:sz="4" w:space="0"/>
              <w:bottom w:val="single" w:color="auto" w:sz="4" w:space="0"/>
              <w:right w:val="single" w:color="auto" w:sz="4" w:space="0"/>
            </w:tcBorders>
            <w:noWrap w:val="0"/>
            <w:vAlign w:val="center"/>
          </w:tcPr>
          <w:p w14:paraId="15A1F6A1">
            <w:pPr>
              <w:keepNext w:val="0"/>
              <w:keepLines w:val="0"/>
              <w:pageBreakBefore w:val="0"/>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1</w:t>
            </w:r>
          </w:p>
        </w:tc>
        <w:tc>
          <w:tcPr>
            <w:tcW w:w="0" w:type="auto"/>
            <w:tcBorders>
              <w:top w:val="nil"/>
              <w:left w:val="nil"/>
              <w:bottom w:val="single" w:color="auto" w:sz="4" w:space="0"/>
              <w:right w:val="single" w:color="auto" w:sz="4" w:space="0"/>
            </w:tcBorders>
            <w:noWrap w:val="0"/>
            <w:vAlign w:val="center"/>
          </w:tcPr>
          <w:p w14:paraId="286D24D3">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rPr>
            </w:pPr>
          </w:p>
        </w:tc>
        <w:tc>
          <w:tcPr>
            <w:tcW w:w="0" w:type="auto"/>
            <w:tcBorders>
              <w:top w:val="nil"/>
              <w:left w:val="nil"/>
              <w:bottom w:val="single" w:color="auto" w:sz="4" w:space="0"/>
              <w:right w:val="single" w:color="auto" w:sz="4" w:space="0"/>
            </w:tcBorders>
            <w:noWrap w:val="0"/>
            <w:vAlign w:val="center"/>
          </w:tcPr>
          <w:p w14:paraId="1EFD904E">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eastAsia="zh-CN"/>
              </w:rPr>
            </w:pPr>
          </w:p>
        </w:tc>
        <w:tc>
          <w:tcPr>
            <w:tcW w:w="0" w:type="auto"/>
            <w:tcBorders>
              <w:top w:val="nil"/>
              <w:left w:val="nil"/>
              <w:bottom w:val="single" w:color="auto" w:sz="4" w:space="0"/>
              <w:right w:val="single" w:color="auto" w:sz="4" w:space="0"/>
            </w:tcBorders>
            <w:noWrap w:val="0"/>
            <w:vAlign w:val="center"/>
          </w:tcPr>
          <w:p w14:paraId="0EA563D1">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eastAsia="zh-CN"/>
              </w:rPr>
            </w:pPr>
          </w:p>
        </w:tc>
        <w:tc>
          <w:tcPr>
            <w:tcW w:w="0" w:type="auto"/>
            <w:tcBorders>
              <w:top w:val="nil"/>
              <w:left w:val="nil"/>
              <w:bottom w:val="single" w:color="auto" w:sz="4" w:space="0"/>
              <w:right w:val="single" w:color="auto" w:sz="4" w:space="0"/>
            </w:tcBorders>
            <w:noWrap w:val="0"/>
            <w:vAlign w:val="center"/>
          </w:tcPr>
          <w:p w14:paraId="3E345C04">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eastAsia="zh-CN"/>
              </w:rPr>
            </w:pPr>
          </w:p>
        </w:tc>
        <w:tc>
          <w:tcPr>
            <w:tcW w:w="0" w:type="auto"/>
            <w:tcBorders>
              <w:top w:val="nil"/>
              <w:left w:val="nil"/>
              <w:bottom w:val="single" w:color="auto" w:sz="4" w:space="0"/>
              <w:right w:val="single" w:color="auto" w:sz="4" w:space="0"/>
            </w:tcBorders>
            <w:noWrap w:val="0"/>
            <w:vAlign w:val="center"/>
          </w:tcPr>
          <w:p w14:paraId="440BD460">
            <w:pPr>
              <w:keepNext w:val="0"/>
              <w:keepLines w:val="0"/>
              <w:widowControl/>
              <w:suppressLineNumbers w:val="0"/>
              <w:jc w:val="center"/>
              <w:textAlignment w:val="center"/>
              <w:rPr>
                <w:rFonts w:hint="eastAsia" w:ascii="微软雅黑" w:hAnsi="微软雅黑" w:eastAsia="微软雅黑" w:cs="微软雅黑"/>
                <w:color w:val="auto"/>
                <w:sz w:val="21"/>
                <w:szCs w:val="21"/>
              </w:rPr>
            </w:pPr>
          </w:p>
        </w:tc>
        <w:tc>
          <w:tcPr>
            <w:tcW w:w="0" w:type="auto"/>
            <w:tcBorders>
              <w:top w:val="nil"/>
              <w:left w:val="nil"/>
              <w:bottom w:val="single" w:color="auto" w:sz="4" w:space="0"/>
              <w:right w:val="single" w:color="auto" w:sz="4" w:space="0"/>
            </w:tcBorders>
            <w:noWrap w:val="0"/>
            <w:vAlign w:val="center"/>
          </w:tcPr>
          <w:p w14:paraId="0818D21E">
            <w:pPr>
              <w:keepNext w:val="0"/>
              <w:keepLines w:val="0"/>
              <w:widowControl/>
              <w:suppressLineNumbers w:val="0"/>
              <w:jc w:val="center"/>
              <w:textAlignment w:val="center"/>
              <w:rPr>
                <w:rFonts w:hint="eastAsia" w:ascii="微软雅黑" w:hAnsi="微软雅黑" w:eastAsia="微软雅黑" w:cs="微软雅黑"/>
                <w:color w:val="auto"/>
                <w:sz w:val="21"/>
                <w:szCs w:val="21"/>
              </w:rPr>
            </w:pPr>
          </w:p>
        </w:tc>
        <w:tc>
          <w:tcPr>
            <w:tcW w:w="0" w:type="auto"/>
            <w:tcBorders>
              <w:top w:val="nil"/>
              <w:left w:val="nil"/>
              <w:bottom w:val="single" w:color="auto" w:sz="4" w:space="0"/>
              <w:right w:val="single" w:color="auto" w:sz="4" w:space="0"/>
            </w:tcBorders>
            <w:noWrap w:val="0"/>
            <w:vAlign w:val="center"/>
          </w:tcPr>
          <w:p w14:paraId="37255DEC">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rPr>
            </w:pPr>
          </w:p>
        </w:tc>
        <w:tc>
          <w:tcPr>
            <w:tcW w:w="0" w:type="auto"/>
            <w:tcBorders>
              <w:top w:val="nil"/>
              <w:left w:val="nil"/>
              <w:bottom w:val="single" w:color="auto" w:sz="4" w:space="0"/>
              <w:right w:val="single" w:color="auto" w:sz="4" w:space="0"/>
            </w:tcBorders>
            <w:noWrap w:val="0"/>
            <w:vAlign w:val="center"/>
          </w:tcPr>
          <w:p w14:paraId="1A37CB4A">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eastAsia="zh-CN"/>
              </w:rPr>
            </w:pPr>
          </w:p>
        </w:tc>
      </w:tr>
      <w:tr w14:paraId="610461F1">
        <w:tblPrEx>
          <w:tblCellMar>
            <w:top w:w="0" w:type="dxa"/>
            <w:left w:w="108" w:type="dxa"/>
            <w:bottom w:w="0" w:type="dxa"/>
            <w:right w:w="108" w:type="dxa"/>
          </w:tblCellMar>
        </w:tblPrEx>
        <w:trPr>
          <w:trHeight w:val="546" w:hRule="atLeast"/>
          <w:jc w:val="center"/>
        </w:trPr>
        <w:tc>
          <w:tcPr>
            <w:tcW w:w="0" w:type="auto"/>
            <w:tcBorders>
              <w:top w:val="nil"/>
              <w:left w:val="single" w:color="auto" w:sz="4" w:space="0"/>
              <w:bottom w:val="single" w:color="auto" w:sz="4" w:space="0"/>
              <w:right w:val="single" w:color="auto" w:sz="4" w:space="0"/>
            </w:tcBorders>
            <w:noWrap w:val="0"/>
            <w:vAlign w:val="center"/>
          </w:tcPr>
          <w:p w14:paraId="41DAFD29">
            <w:pPr>
              <w:keepNext w:val="0"/>
              <w:keepLines w:val="0"/>
              <w:pageBreakBefore w:val="0"/>
              <w:kinsoku/>
              <w:overflowPunct/>
              <w:topLinePunct w:val="0"/>
              <w:autoSpaceDE/>
              <w:autoSpaceDN/>
              <w:bidi w:val="0"/>
              <w:adjustRightInd/>
              <w:snapToGrid/>
              <w:spacing w:line="360" w:lineRule="auto"/>
              <w:jc w:val="center"/>
              <w:textAlignment w:val="auto"/>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2</w:t>
            </w:r>
          </w:p>
        </w:tc>
        <w:tc>
          <w:tcPr>
            <w:tcW w:w="0" w:type="auto"/>
            <w:tcBorders>
              <w:top w:val="nil"/>
              <w:left w:val="nil"/>
              <w:bottom w:val="single" w:color="auto" w:sz="4" w:space="0"/>
              <w:right w:val="single" w:color="auto" w:sz="4" w:space="0"/>
            </w:tcBorders>
            <w:noWrap w:val="0"/>
            <w:vAlign w:val="center"/>
          </w:tcPr>
          <w:p w14:paraId="12FAD751">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rPr>
            </w:pPr>
          </w:p>
        </w:tc>
        <w:tc>
          <w:tcPr>
            <w:tcW w:w="0" w:type="auto"/>
            <w:tcBorders>
              <w:top w:val="nil"/>
              <w:left w:val="nil"/>
              <w:bottom w:val="single" w:color="auto" w:sz="4" w:space="0"/>
              <w:right w:val="single" w:color="auto" w:sz="4" w:space="0"/>
            </w:tcBorders>
            <w:noWrap w:val="0"/>
            <w:vAlign w:val="center"/>
          </w:tcPr>
          <w:p w14:paraId="2C9F2A2A">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rPr>
            </w:pPr>
          </w:p>
        </w:tc>
        <w:tc>
          <w:tcPr>
            <w:tcW w:w="0" w:type="auto"/>
            <w:tcBorders>
              <w:top w:val="nil"/>
              <w:left w:val="nil"/>
              <w:bottom w:val="single" w:color="auto" w:sz="4" w:space="0"/>
              <w:right w:val="single" w:color="auto" w:sz="4" w:space="0"/>
            </w:tcBorders>
            <w:noWrap w:val="0"/>
            <w:vAlign w:val="center"/>
          </w:tcPr>
          <w:p w14:paraId="086A666C">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eastAsia="zh-CN"/>
              </w:rPr>
            </w:pPr>
          </w:p>
        </w:tc>
        <w:tc>
          <w:tcPr>
            <w:tcW w:w="0" w:type="auto"/>
            <w:tcBorders>
              <w:top w:val="nil"/>
              <w:left w:val="nil"/>
              <w:bottom w:val="single" w:color="auto" w:sz="4" w:space="0"/>
              <w:right w:val="single" w:color="auto" w:sz="4" w:space="0"/>
            </w:tcBorders>
            <w:noWrap w:val="0"/>
            <w:vAlign w:val="center"/>
          </w:tcPr>
          <w:p w14:paraId="072256F2">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eastAsia="zh-CN"/>
              </w:rPr>
            </w:pPr>
          </w:p>
        </w:tc>
        <w:tc>
          <w:tcPr>
            <w:tcW w:w="0" w:type="auto"/>
            <w:tcBorders>
              <w:top w:val="nil"/>
              <w:left w:val="nil"/>
              <w:bottom w:val="single" w:color="auto" w:sz="4" w:space="0"/>
              <w:right w:val="single" w:color="auto" w:sz="4" w:space="0"/>
            </w:tcBorders>
            <w:noWrap w:val="0"/>
            <w:vAlign w:val="center"/>
          </w:tcPr>
          <w:p w14:paraId="01E368BB">
            <w:pPr>
              <w:keepNext w:val="0"/>
              <w:keepLines w:val="0"/>
              <w:widowControl/>
              <w:suppressLineNumbers w:val="0"/>
              <w:jc w:val="center"/>
              <w:textAlignment w:val="center"/>
              <w:rPr>
                <w:rFonts w:hint="eastAsia" w:ascii="微软雅黑" w:hAnsi="微软雅黑" w:eastAsia="微软雅黑" w:cs="微软雅黑"/>
                <w:color w:val="auto"/>
                <w:sz w:val="21"/>
                <w:szCs w:val="21"/>
              </w:rPr>
            </w:pPr>
          </w:p>
        </w:tc>
        <w:tc>
          <w:tcPr>
            <w:tcW w:w="0" w:type="auto"/>
            <w:tcBorders>
              <w:top w:val="nil"/>
              <w:left w:val="nil"/>
              <w:bottom w:val="single" w:color="auto" w:sz="4" w:space="0"/>
              <w:right w:val="single" w:color="auto" w:sz="4" w:space="0"/>
            </w:tcBorders>
            <w:noWrap w:val="0"/>
            <w:vAlign w:val="center"/>
          </w:tcPr>
          <w:p w14:paraId="62BFB242">
            <w:pPr>
              <w:keepNext w:val="0"/>
              <w:keepLines w:val="0"/>
              <w:widowControl/>
              <w:suppressLineNumbers w:val="0"/>
              <w:jc w:val="center"/>
              <w:textAlignment w:val="center"/>
              <w:rPr>
                <w:rFonts w:hint="eastAsia" w:ascii="微软雅黑" w:hAnsi="微软雅黑" w:eastAsia="微软雅黑" w:cs="微软雅黑"/>
                <w:color w:val="auto"/>
                <w:sz w:val="21"/>
                <w:szCs w:val="21"/>
              </w:rPr>
            </w:pPr>
          </w:p>
        </w:tc>
        <w:tc>
          <w:tcPr>
            <w:tcW w:w="0" w:type="auto"/>
            <w:tcBorders>
              <w:top w:val="nil"/>
              <w:left w:val="nil"/>
              <w:bottom w:val="single" w:color="auto" w:sz="4" w:space="0"/>
              <w:right w:val="single" w:color="auto" w:sz="4" w:space="0"/>
            </w:tcBorders>
            <w:noWrap w:val="0"/>
            <w:vAlign w:val="center"/>
          </w:tcPr>
          <w:p w14:paraId="4DB968C1">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rPr>
            </w:pPr>
          </w:p>
        </w:tc>
        <w:tc>
          <w:tcPr>
            <w:tcW w:w="0" w:type="auto"/>
            <w:tcBorders>
              <w:top w:val="nil"/>
              <w:left w:val="nil"/>
              <w:bottom w:val="single" w:color="auto" w:sz="4" w:space="0"/>
              <w:right w:val="single" w:color="auto" w:sz="4" w:space="0"/>
            </w:tcBorders>
            <w:noWrap w:val="0"/>
            <w:vAlign w:val="center"/>
          </w:tcPr>
          <w:p w14:paraId="3AEC67BD">
            <w:pPr>
              <w:keepNext w:val="0"/>
              <w:keepLines w:val="0"/>
              <w:widowControl/>
              <w:suppressLineNumbers w:val="0"/>
              <w:jc w:val="center"/>
              <w:textAlignment w:val="center"/>
              <w:rPr>
                <w:rFonts w:hint="eastAsia" w:ascii="微软雅黑" w:hAnsi="微软雅黑" w:eastAsia="微软雅黑" w:cs="微软雅黑"/>
                <w:bCs/>
                <w:color w:val="auto"/>
                <w:kern w:val="0"/>
                <w:sz w:val="21"/>
                <w:szCs w:val="21"/>
                <w:lang w:val="en-US" w:eastAsia="zh-CN"/>
              </w:rPr>
            </w:pPr>
          </w:p>
        </w:tc>
      </w:tr>
      <w:tr w14:paraId="6FD0228E">
        <w:tblPrEx>
          <w:tblCellMar>
            <w:top w:w="0" w:type="dxa"/>
            <w:left w:w="108" w:type="dxa"/>
            <w:bottom w:w="0" w:type="dxa"/>
            <w:right w:w="108" w:type="dxa"/>
          </w:tblCellMar>
        </w:tblPrEx>
        <w:trPr>
          <w:trHeight w:val="590" w:hRule="atLeast"/>
          <w:jc w:val="center"/>
        </w:trPr>
        <w:tc>
          <w:tcPr>
            <w:tcW w:w="0" w:type="auto"/>
            <w:gridSpan w:val="9"/>
            <w:tcBorders>
              <w:top w:val="single" w:color="auto" w:sz="4" w:space="0"/>
              <w:left w:val="single" w:color="auto" w:sz="4" w:space="0"/>
              <w:bottom w:val="single" w:color="auto" w:sz="4" w:space="0"/>
              <w:right w:val="single" w:color="auto" w:sz="4" w:space="0"/>
            </w:tcBorders>
            <w:noWrap w:val="0"/>
            <w:vAlign w:val="center"/>
          </w:tcPr>
          <w:p w14:paraId="3B94165F">
            <w:pPr>
              <w:keepNext w:val="0"/>
              <w:keepLines w:val="0"/>
              <w:pageBreakBefore w:val="0"/>
              <w:widowControl/>
              <w:kinsoku/>
              <w:overflowPunct/>
              <w:topLinePunct w:val="0"/>
              <w:autoSpaceDE/>
              <w:autoSpaceDN/>
              <w:bidi w:val="0"/>
              <w:adjustRightInd/>
              <w:snapToGrid/>
              <w:spacing w:line="360" w:lineRule="auto"/>
              <w:jc w:val="left"/>
              <w:textAlignment w:val="auto"/>
              <w:rPr>
                <w:rFonts w:hint="default" w:ascii="微软雅黑" w:hAnsi="微软雅黑" w:eastAsia="微软雅黑" w:cs="微软雅黑"/>
                <w:color w:val="auto"/>
                <w:kern w:val="0"/>
                <w:sz w:val="21"/>
                <w:szCs w:val="21"/>
                <w:lang w:val="en-US" w:eastAsia="zh-CN"/>
              </w:rPr>
            </w:pPr>
            <w:r>
              <w:rPr>
                <w:rFonts w:hint="eastAsia" w:ascii="微软雅黑" w:hAnsi="微软雅黑" w:eastAsia="微软雅黑" w:cs="微软雅黑"/>
                <w:color w:val="auto"/>
                <w:kern w:val="0"/>
                <w:sz w:val="21"/>
                <w:szCs w:val="21"/>
                <w:lang w:val="en-US" w:eastAsia="zh-CN"/>
              </w:rPr>
              <w:t>含税</w:t>
            </w:r>
            <w:r>
              <w:rPr>
                <w:rFonts w:hint="eastAsia" w:ascii="微软雅黑" w:hAnsi="微软雅黑" w:eastAsia="微软雅黑" w:cs="微软雅黑"/>
                <w:color w:val="auto"/>
                <w:kern w:val="0"/>
                <w:sz w:val="21"/>
                <w:szCs w:val="21"/>
              </w:rPr>
              <w:t>总金额</w:t>
            </w:r>
            <w:r>
              <w:rPr>
                <w:rFonts w:hint="eastAsia" w:ascii="微软雅黑" w:hAnsi="微软雅黑" w:eastAsia="微软雅黑" w:cs="微软雅黑"/>
                <w:color w:val="auto"/>
                <w:kern w:val="0"/>
                <w:sz w:val="21"/>
                <w:szCs w:val="21"/>
                <w:lang w:eastAsia="zh-CN"/>
              </w:rPr>
              <w:t>：</w:t>
            </w:r>
            <w:r>
              <w:rPr>
                <w:rFonts w:hint="eastAsia" w:ascii="微软雅黑" w:hAnsi="微软雅黑" w:eastAsia="微软雅黑" w:cs="微软雅黑"/>
                <w:color w:val="auto"/>
                <w:sz w:val="21"/>
                <w:szCs w:val="21"/>
              </w:rPr>
              <w:t>¥</w:t>
            </w:r>
            <w:r>
              <w:rPr>
                <w:rFonts w:hint="eastAsia" w:ascii="微软雅黑" w:hAnsi="微软雅黑" w:eastAsia="微软雅黑" w:cs="微软雅黑"/>
                <w:color w:val="auto"/>
                <w:sz w:val="21"/>
                <w:szCs w:val="21"/>
                <w:lang w:val="en-US" w:eastAsia="zh-CN"/>
              </w:rPr>
              <w:t>XXX</w:t>
            </w:r>
            <w:r>
              <w:rPr>
                <w:rFonts w:hint="eastAsia" w:ascii="微软雅黑" w:hAnsi="微软雅黑" w:eastAsia="微软雅黑" w:cs="微软雅黑"/>
                <w:color w:val="auto"/>
                <w:sz w:val="21"/>
                <w:szCs w:val="21"/>
              </w:rPr>
              <w:t>（大写）：</w:t>
            </w:r>
            <w:r>
              <w:rPr>
                <w:rFonts w:hint="eastAsia" w:ascii="微软雅黑" w:hAnsi="微软雅黑" w:eastAsia="微软雅黑" w:cs="微软雅黑"/>
                <w:color w:val="auto"/>
                <w:sz w:val="21"/>
                <w:szCs w:val="21"/>
                <w:lang w:val="en-US" w:eastAsia="zh-CN"/>
              </w:rPr>
              <w:t>XXX</w:t>
            </w:r>
          </w:p>
        </w:tc>
      </w:tr>
    </w:tbl>
    <w:p w14:paraId="334A7A97">
      <w:pPr>
        <w:adjustRightInd w:val="0"/>
        <w:snapToGrid w:val="0"/>
        <w:spacing w:line="360" w:lineRule="auto"/>
        <w:rPr>
          <w:rFonts w:hint="eastAsia" w:ascii="宋体" w:hAnsi="宋体"/>
          <w:b/>
          <w:color w:val="auto"/>
          <w:szCs w:val="21"/>
        </w:rPr>
      </w:pPr>
    </w:p>
    <w:p w14:paraId="49E1DF61">
      <w:pPr>
        <w:adjustRightInd w:val="0"/>
        <w:snapToGrid w:val="0"/>
        <w:spacing w:line="360" w:lineRule="auto"/>
        <w:rPr>
          <w:rFonts w:ascii="宋体" w:hAnsi="宋体"/>
          <w:b/>
          <w:color w:val="auto"/>
          <w:szCs w:val="21"/>
        </w:rPr>
      </w:pPr>
    </w:p>
    <w:p w14:paraId="6428E4A8">
      <w:pPr>
        <w:pStyle w:val="3"/>
        <w:spacing w:before="68" w:line="222" w:lineRule="auto"/>
        <w:rPr>
          <w:rFonts w:hint="eastAsia" w:ascii="微软雅黑" w:hAnsi="微软雅黑" w:eastAsia="微软雅黑" w:cs="微软雅黑"/>
          <w:color w:val="auto"/>
          <w:spacing w:val="-6"/>
          <w:sz w:val="21"/>
          <w:szCs w:val="21"/>
        </w:rPr>
      </w:pPr>
      <w:r>
        <w:rPr>
          <w:rFonts w:hint="eastAsia" w:ascii="微软雅黑" w:hAnsi="微软雅黑" w:eastAsia="微软雅黑" w:cs="微软雅黑"/>
          <w:color w:val="auto"/>
          <w:spacing w:val="-6"/>
          <w:sz w:val="21"/>
          <w:szCs w:val="21"/>
        </w:rPr>
        <w:t>报价单位：</w:t>
      </w:r>
      <w:r>
        <w:rPr>
          <w:rFonts w:hint="eastAsia" w:ascii="微软雅黑" w:hAnsi="微软雅黑" w:eastAsia="微软雅黑" w:cs="微软雅黑"/>
          <w:color w:val="auto"/>
          <w:spacing w:val="-6"/>
          <w:sz w:val="21"/>
          <w:szCs w:val="21"/>
          <w:lang w:val="en-US" w:eastAsia="zh-CN"/>
        </w:rPr>
        <w:t xml:space="preserve">                         </w:t>
      </w:r>
      <w:r>
        <w:rPr>
          <w:rFonts w:hint="eastAsia" w:ascii="微软雅黑" w:hAnsi="微软雅黑" w:eastAsia="微软雅黑" w:cs="微软雅黑"/>
          <w:color w:val="auto"/>
          <w:spacing w:val="-6"/>
          <w:sz w:val="21"/>
          <w:szCs w:val="21"/>
        </w:rPr>
        <w:t>(公章)</w:t>
      </w:r>
    </w:p>
    <w:p w14:paraId="51644C6C">
      <w:pPr>
        <w:pStyle w:val="3"/>
        <w:spacing w:before="68" w:line="222" w:lineRule="auto"/>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6"/>
          <w:sz w:val="21"/>
          <w:szCs w:val="21"/>
        </w:rPr>
        <w:t>报</w:t>
      </w:r>
      <w:r>
        <w:rPr>
          <w:rFonts w:hint="eastAsia" w:ascii="微软雅黑" w:hAnsi="微软雅黑" w:eastAsia="微软雅黑" w:cs="微软雅黑"/>
          <w:color w:val="auto"/>
          <w:spacing w:val="-14"/>
          <w:sz w:val="21"/>
          <w:szCs w:val="21"/>
        </w:rPr>
        <w:t xml:space="preserve"> </w:t>
      </w:r>
      <w:r>
        <w:rPr>
          <w:rFonts w:hint="eastAsia" w:ascii="微软雅黑" w:hAnsi="微软雅黑" w:eastAsia="微软雅黑" w:cs="微软雅黑"/>
          <w:color w:val="auto"/>
          <w:spacing w:val="-6"/>
          <w:sz w:val="21"/>
          <w:szCs w:val="21"/>
        </w:rPr>
        <w:t>价 人</w:t>
      </w:r>
      <w:r>
        <w:rPr>
          <w:rFonts w:hint="eastAsia" w:ascii="微软雅黑" w:hAnsi="微软雅黑" w:eastAsia="微软雅黑" w:cs="微软雅黑"/>
          <w:color w:val="auto"/>
          <w:spacing w:val="-25"/>
          <w:sz w:val="21"/>
          <w:szCs w:val="21"/>
        </w:rPr>
        <w:t xml:space="preserve"> </w:t>
      </w:r>
      <w:r>
        <w:rPr>
          <w:rFonts w:hint="eastAsia" w:ascii="微软雅黑" w:hAnsi="微软雅黑" w:eastAsia="微软雅黑" w:cs="微软雅黑"/>
          <w:color w:val="auto"/>
          <w:spacing w:val="-6"/>
          <w:sz w:val="21"/>
          <w:szCs w:val="21"/>
        </w:rPr>
        <w:t>：</w:t>
      </w:r>
      <w:r>
        <w:rPr>
          <w:rFonts w:hint="eastAsia" w:ascii="微软雅黑" w:hAnsi="微软雅黑" w:eastAsia="微软雅黑" w:cs="微软雅黑"/>
          <w:color w:val="auto"/>
          <w:sz w:val="21"/>
          <w:szCs w:val="21"/>
        </w:rPr>
        <w:t xml:space="preserve">                      </w:t>
      </w:r>
      <w:r>
        <w:rPr>
          <w:rFonts w:hint="eastAsia" w:ascii="微软雅黑" w:hAnsi="微软雅黑" w:eastAsia="微软雅黑" w:cs="微软雅黑"/>
          <w:b w:val="0"/>
          <w:bCs w:val="0"/>
          <w:color w:val="auto"/>
          <w:spacing w:val="-6"/>
          <w:sz w:val="21"/>
          <w:szCs w:val="21"/>
        </w:rPr>
        <w:t>(法人章</w:t>
      </w:r>
      <w:r>
        <w:rPr>
          <w:rFonts w:hint="eastAsia" w:ascii="微软雅黑" w:hAnsi="微软雅黑" w:eastAsia="微软雅黑" w:cs="微软雅黑"/>
          <w:b w:val="0"/>
          <w:bCs w:val="0"/>
          <w:color w:val="auto"/>
          <w:spacing w:val="-6"/>
          <w:sz w:val="21"/>
          <w:szCs w:val="21"/>
          <w:lang w:val="en-US" w:eastAsia="zh-CN"/>
        </w:rPr>
        <w:t>并签字</w:t>
      </w:r>
      <w:r>
        <w:rPr>
          <w:rFonts w:hint="eastAsia" w:ascii="微软雅黑" w:hAnsi="微软雅黑" w:eastAsia="微软雅黑" w:cs="微软雅黑"/>
          <w:b w:val="0"/>
          <w:bCs w:val="0"/>
          <w:color w:val="auto"/>
          <w:spacing w:val="-6"/>
          <w:sz w:val="21"/>
          <w:szCs w:val="21"/>
        </w:rPr>
        <w:t>)</w:t>
      </w:r>
    </w:p>
    <w:p w14:paraId="6FEF79A8">
      <w:pPr>
        <w:pStyle w:val="3"/>
        <w:spacing w:before="69" w:line="222" w:lineRule="auto"/>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26"/>
          <w:sz w:val="21"/>
          <w:szCs w:val="21"/>
        </w:rPr>
        <w:t>报价时间：</w:t>
      </w:r>
      <w:r>
        <w:rPr>
          <w:rFonts w:hint="eastAsia" w:ascii="微软雅黑" w:hAnsi="微软雅黑" w:eastAsia="微软雅黑" w:cs="微软雅黑"/>
          <w:color w:val="auto"/>
          <w:spacing w:val="26"/>
          <w:sz w:val="21"/>
          <w:szCs w:val="21"/>
          <w:lang w:val="en-US" w:eastAsia="zh-CN"/>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rPr>
        <w:t xml:space="preserve">  </w:t>
      </w:r>
      <w:r>
        <w:rPr>
          <w:rFonts w:hint="eastAsia" w:ascii="微软雅黑" w:hAnsi="微软雅黑" w:eastAsia="微软雅黑" w:cs="微软雅黑"/>
          <w:color w:val="auto"/>
          <w:sz w:val="21"/>
          <w:szCs w:val="21"/>
          <w:lang w:val="en-US" w:eastAsia="zh-CN"/>
        </w:rPr>
        <w:t xml:space="preserve">  </w:t>
      </w:r>
      <w:r>
        <w:rPr>
          <w:rFonts w:hint="eastAsia" w:ascii="微软雅黑" w:hAnsi="微软雅黑" w:eastAsia="微软雅黑" w:cs="微软雅黑"/>
          <w:color w:val="auto"/>
          <w:spacing w:val="26"/>
          <w:sz w:val="21"/>
          <w:szCs w:val="21"/>
        </w:rPr>
        <w:t xml:space="preserve">   月  </w:t>
      </w:r>
      <w:r>
        <w:rPr>
          <w:rFonts w:hint="eastAsia" w:ascii="微软雅黑" w:hAnsi="微软雅黑" w:eastAsia="微软雅黑" w:cs="微软雅黑"/>
          <w:color w:val="auto"/>
          <w:sz w:val="21"/>
          <w:szCs w:val="21"/>
          <w:lang w:val="en-US" w:eastAsia="zh-CN"/>
        </w:rPr>
        <w:t xml:space="preserve">  </w:t>
      </w:r>
      <w:r>
        <w:rPr>
          <w:rFonts w:hint="eastAsia" w:ascii="微软雅黑" w:hAnsi="微软雅黑" w:eastAsia="微软雅黑" w:cs="微软雅黑"/>
          <w:color w:val="auto"/>
          <w:spacing w:val="26"/>
          <w:sz w:val="21"/>
          <w:szCs w:val="21"/>
        </w:rPr>
        <w:t xml:space="preserve">   日</w:t>
      </w:r>
    </w:p>
    <w:p w14:paraId="64F24FAD">
      <w:pPr>
        <w:spacing w:line="360" w:lineRule="auto"/>
        <w:jc w:val="left"/>
        <w:rPr>
          <w:rFonts w:hint="eastAsia" w:ascii="宋体" w:hAnsi="宋体"/>
          <w:color w:val="auto"/>
          <w:sz w:val="28"/>
          <w:szCs w:val="24"/>
          <w:lang w:eastAsia="zh-CN"/>
        </w:rPr>
      </w:pPr>
    </w:p>
    <w:p w14:paraId="706393CC">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天津水务集团滨海水务有限公司老旧管网改造工程油田地区供水管网改造项目（市政及庭院管网部分）施工  康宁小区、心港假日小区、创业三路-津岐公路给水管道工程（设备租赁）</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228FEFEC">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06A1494B">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6C63C5CD">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5D97380F">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宋体" w:hAnsi="宋体"/>
          <w:color w:val="auto"/>
          <w:sz w:val="28"/>
          <w:szCs w:val="24"/>
          <w:lang w:val="en-US" w:eastAsia="zh-CN"/>
        </w:rPr>
      </w:pPr>
      <w:r>
        <w:rPr>
          <w:rFonts w:hint="eastAsia" w:ascii="宋体" w:hAnsi="宋体"/>
          <w:color w:val="auto"/>
          <w:sz w:val="28"/>
          <w:szCs w:val="24"/>
          <w:lang w:val="en-US" w:eastAsia="zh-CN"/>
        </w:rPr>
        <w:t>附件5：预算工程量清单</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3"/>
        <w:gridCol w:w="1216"/>
        <w:gridCol w:w="5591"/>
        <w:gridCol w:w="574"/>
        <w:gridCol w:w="758"/>
      </w:tblGrid>
      <w:tr w14:paraId="69D7A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5" w:hRule="atLeast"/>
        </w:trPr>
        <w:tc>
          <w:tcPr>
            <w:tcW w:w="170" w:type="pct"/>
            <w:tcBorders>
              <w:top w:val="nil"/>
              <w:left w:val="nil"/>
              <w:bottom w:val="nil"/>
              <w:right w:val="nil"/>
            </w:tcBorders>
            <w:shd w:val="clear" w:color="auto" w:fill="auto"/>
            <w:noWrap/>
            <w:vAlign w:val="bottom"/>
          </w:tcPr>
          <w:p w14:paraId="21D1EE66">
            <w:pPr>
              <w:keepNext w:val="0"/>
              <w:keepLines w:val="0"/>
              <w:widowControl/>
              <w:suppressLineNumbers w:val="0"/>
              <w:jc w:val="left"/>
              <w:textAlignment w:val="bottom"/>
              <w:rPr>
                <w:rFonts w:ascii="Arial" w:hAnsi="Arial" w:cs="Arial"/>
                <w:b/>
                <w:bCs/>
                <w:i w:val="0"/>
                <w:iCs w:val="0"/>
                <w:color w:val="000000"/>
                <w:sz w:val="32"/>
                <w:szCs w:val="32"/>
                <w:u w:val="none"/>
              </w:rPr>
            </w:pPr>
            <w:r>
              <w:rPr>
                <w:rFonts w:hint="default" w:ascii="Arial" w:hAnsi="Arial" w:eastAsia="宋体" w:cs="Arial"/>
                <w:b/>
                <w:bCs/>
                <w:i w:val="0"/>
                <w:iCs w:val="0"/>
                <w:color w:val="000000"/>
                <w:kern w:val="0"/>
                <w:sz w:val="32"/>
                <w:szCs w:val="32"/>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62FCAB">
            <w:pPr>
              <w:rPr>
                <w:rFonts w:hint="default" w:ascii="Arial" w:hAnsi="Arial" w:cs="Arial"/>
                <w:b/>
                <w:bCs/>
                <w:i w:val="0"/>
                <w:iCs w:val="0"/>
                <w:color w:val="000000"/>
                <w:sz w:val="32"/>
                <w:szCs w:val="32"/>
                <w:u w:val="none"/>
              </w:rPr>
            </w:pP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A8C386">
            <w:pPr>
              <w:keepNext w:val="0"/>
              <w:keepLines w:val="0"/>
              <w:widowControl/>
              <w:suppressLineNumbers w:val="0"/>
              <w:jc w:val="left"/>
              <w:textAlignment w:val="bottom"/>
              <w:rPr>
                <w:rFonts w:hint="eastAsia" w:ascii="宋体" w:hAnsi="宋体" w:eastAsia="宋体" w:cs="宋体"/>
                <w:b/>
                <w:bCs/>
                <w:i w:val="0"/>
                <w:iCs w:val="0"/>
                <w:color w:val="000000"/>
                <w:sz w:val="32"/>
                <w:szCs w:val="32"/>
                <w:u w:val="none"/>
              </w:rPr>
            </w:pPr>
            <w:r>
              <w:rPr>
                <w:rStyle w:val="10"/>
                <w:lang w:val="en-US" w:eastAsia="zh-CN" w:bidi="ar"/>
              </w:rPr>
              <w:t>里巷道路</w:t>
            </w:r>
            <w:r>
              <w:rPr>
                <w:rStyle w:val="11"/>
                <w:rFonts w:eastAsia="宋体"/>
                <w:lang w:val="en-US" w:eastAsia="zh-CN" w:bidi="ar"/>
              </w:rPr>
              <w:t>-</w:t>
            </w:r>
            <w:r>
              <w:rPr>
                <w:rStyle w:val="10"/>
                <w:lang w:val="en-US" w:eastAsia="zh-CN" w:bidi="ar"/>
              </w:rPr>
              <w:t>滨海新区大港油田康宁小区给水管道工程</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565827">
            <w:pPr>
              <w:rPr>
                <w:rFonts w:hint="default" w:ascii="Arial" w:hAnsi="Arial" w:cs="Arial"/>
                <w:b/>
                <w:bCs/>
                <w:i w:val="0"/>
                <w:iCs w:val="0"/>
                <w:color w:val="000000"/>
                <w:sz w:val="32"/>
                <w:szCs w:val="32"/>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4C9610">
            <w:pPr>
              <w:rPr>
                <w:rFonts w:hint="default" w:ascii="Arial" w:hAnsi="Arial" w:cs="Arial"/>
                <w:b/>
                <w:bCs/>
                <w:i w:val="0"/>
                <w:iCs w:val="0"/>
                <w:color w:val="000000"/>
                <w:sz w:val="32"/>
                <w:szCs w:val="32"/>
                <w:u w:val="none"/>
              </w:rPr>
            </w:pPr>
          </w:p>
        </w:tc>
      </w:tr>
      <w:tr w14:paraId="4A8A6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C5FD55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15471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D2305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B5ADF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203A0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654</w:t>
            </w:r>
          </w:p>
        </w:tc>
      </w:tr>
      <w:tr w14:paraId="0BCEE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F1FF7F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42F09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65C16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A2210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A29E6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r>
      <w:tr w14:paraId="61D84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225845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1ED2C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3122C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58429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CF277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r>
      <w:tr w14:paraId="3C698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FFE7B6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815C5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040501003001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6095B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DN100球管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F64E9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28D56B">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r>
      <w:tr w14:paraId="60C1A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13F82D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388FA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7000C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DN400钢套管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9CF7A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C6B90C">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r>
      <w:tr w14:paraId="094CA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FDF806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EBE6F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AF7B5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dn315x90°弯头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E97FD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76C61E">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47FDE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D4B8F0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C9BD0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938FD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dn315x45°弯头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C69C2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FC5BF0">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r>
      <w:tr w14:paraId="68C07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EEE4F5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29697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FFAF9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dn315x22.5°弯头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BD72A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025FF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r>
      <w:tr w14:paraId="70525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68487D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C3A9D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E6873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dn315x11.25°弯头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ED481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2B456B">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r>
      <w:tr w14:paraId="65C1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E44A62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0E3D1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9FC13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dn315xdn315三通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55CBD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3AACB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66E9A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508D01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415DF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040502003006</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DBC16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dn315xdn160三通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E9FCA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E86CF6">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232A2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472C42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94957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040502003007</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7C149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dn315xdn110三通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95575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452580">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1A6FB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4A531B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A56C2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040502003008</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3B61E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dn315xdn160大小头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2B088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B3CA0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0E5CC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EF052E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AD2F5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1DF51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E9AC0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FDF02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r>
      <w:tr w14:paraId="5C41A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76D580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42FD5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040502003009</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EBF1A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DN150双法兰带伸缩节</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15200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198E0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78F95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4C29D1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8D56E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92218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DN300直埋阀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BD042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4B452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55B8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50334E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E2E82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2E1F4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DN150直埋阀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E7BB0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DDAB7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r>
      <w:tr w14:paraId="3ED3F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34DDCB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3AE20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3606D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DN100直埋阀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5B50D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EAF46F">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r>
      <w:tr w14:paraId="075C4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5B6877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9363F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51EEA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DN150橡胶瓣止回阀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4CF90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C0569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76C71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0C4960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B318A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040502009001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44AEE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DN150电磁水表</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1020E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918ABE">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21C04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FF7DDF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3BB2F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040502010001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5957D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SS100-1.6地上式消火栓</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019FC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95580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r>
      <w:tr w14:paraId="77095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54F383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19B23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A86BB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DN300直埋阀井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AD2E5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501EC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2D0D8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05CA35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AC25C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FD625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DN150直埋阀井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B530E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4ACE1C">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r>
      <w:tr w14:paraId="04F2C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B8F850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A74DA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CD311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DN100直埋阀井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AEFA1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0AE12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r>
      <w:tr w14:paraId="6EDF3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44BC81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A2815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5143C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DN150电磁水表井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E1558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1D56E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0441E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F223B5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2354A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040501020001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90C8B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标识带</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75C81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5F6F9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744</w:t>
            </w:r>
          </w:p>
        </w:tc>
      </w:tr>
      <w:tr w14:paraId="651CE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88C021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46FEB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155CD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标识桩</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E2C6F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82830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r>
      <w:tr w14:paraId="36287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CB3F1C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9B837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040101002001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5341C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挖方</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DC2E4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AD4B4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880.61</w:t>
            </w:r>
          </w:p>
        </w:tc>
      </w:tr>
      <w:tr w14:paraId="291C4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50B035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048E3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EB386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砂垫层</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4620A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6B037B">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133.36</w:t>
            </w:r>
          </w:p>
        </w:tc>
      </w:tr>
      <w:tr w14:paraId="5F844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B3F1DD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45113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040103001002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AF2EE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回填方</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B7362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94030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693.68</w:t>
            </w:r>
          </w:p>
        </w:tc>
      </w:tr>
      <w:tr w14:paraId="17593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1CA96E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06C2A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012B9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余方弃置</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F02E1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52ACC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186.93</w:t>
            </w:r>
          </w:p>
        </w:tc>
      </w:tr>
      <w:tr w14:paraId="0EE32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0CEC00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2B77E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040503002001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9720B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混凝土支墩</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D364F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E06D0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r>
      <w:tr w14:paraId="1DF6B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AF98DE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8B0A3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EE060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dn315塑料管拆除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BC14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897AE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654</w:t>
            </w:r>
          </w:p>
        </w:tc>
      </w:tr>
      <w:tr w14:paraId="054A1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93634F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561C3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23FCC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8DBB1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6CE8BE">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r>
      <w:tr w14:paraId="3DBD6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263A35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F0694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040501004006</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ECB60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A1D94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7C122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r>
      <w:tr w14:paraId="375D6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5706D2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9E1CB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040509999001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54B4F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总损失水量</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7A678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吨</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586D0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2611</w:t>
            </w:r>
          </w:p>
        </w:tc>
      </w:tr>
      <w:tr w14:paraId="68F7D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70" w:type="pct"/>
            <w:tcBorders>
              <w:top w:val="nil"/>
              <w:left w:val="nil"/>
              <w:bottom w:val="nil"/>
              <w:right w:val="nil"/>
            </w:tcBorders>
            <w:shd w:val="clear" w:color="auto" w:fill="auto"/>
            <w:noWrap/>
            <w:vAlign w:val="bottom"/>
          </w:tcPr>
          <w:p w14:paraId="3F509F1B">
            <w:pPr>
              <w:keepNext w:val="0"/>
              <w:keepLines w:val="0"/>
              <w:widowControl/>
              <w:suppressLineNumbers w:val="0"/>
              <w:jc w:val="left"/>
              <w:textAlignment w:val="bottom"/>
              <w:rPr>
                <w:rFonts w:hint="default" w:ascii="Arial" w:hAnsi="Arial" w:cs="Arial"/>
                <w:b/>
                <w:bCs/>
                <w:i w:val="0"/>
                <w:iCs w:val="0"/>
                <w:color w:val="000000"/>
                <w:sz w:val="32"/>
                <w:szCs w:val="32"/>
                <w:u w:val="none"/>
              </w:rPr>
            </w:pPr>
            <w:r>
              <w:rPr>
                <w:rFonts w:hint="default" w:ascii="Arial" w:hAnsi="Arial" w:eastAsia="宋体" w:cs="Arial"/>
                <w:b/>
                <w:bCs/>
                <w:i w:val="0"/>
                <w:iCs w:val="0"/>
                <w:color w:val="000000"/>
                <w:kern w:val="0"/>
                <w:sz w:val="32"/>
                <w:szCs w:val="32"/>
                <w:u w:val="none"/>
                <w:lang w:val="en-US" w:eastAsia="zh-CN" w:bidi="ar"/>
              </w:rPr>
              <w:t>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ACBFE2">
            <w:pPr>
              <w:rPr>
                <w:rFonts w:hint="default" w:ascii="Arial" w:hAnsi="Arial" w:cs="Arial"/>
                <w:b/>
                <w:bCs/>
                <w:i w:val="0"/>
                <w:iCs w:val="0"/>
                <w:color w:val="000000"/>
                <w:sz w:val="32"/>
                <w:szCs w:val="32"/>
                <w:u w:val="none"/>
              </w:rPr>
            </w:pP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30F6A5">
            <w:pPr>
              <w:keepNext w:val="0"/>
              <w:keepLines w:val="0"/>
              <w:widowControl/>
              <w:suppressLineNumbers w:val="0"/>
              <w:jc w:val="left"/>
              <w:textAlignment w:val="bottom"/>
              <w:rPr>
                <w:rFonts w:hint="eastAsia" w:ascii="宋体" w:hAnsi="宋体" w:eastAsia="宋体" w:cs="宋体"/>
                <w:b/>
                <w:bCs/>
                <w:i w:val="0"/>
                <w:iCs w:val="0"/>
                <w:color w:val="000000"/>
                <w:sz w:val="32"/>
                <w:szCs w:val="32"/>
                <w:u w:val="none"/>
              </w:rPr>
            </w:pPr>
            <w:r>
              <w:rPr>
                <w:rStyle w:val="10"/>
                <w:lang w:val="en-US" w:eastAsia="zh-CN" w:bidi="ar"/>
              </w:rPr>
              <w:t>里巷道路</w:t>
            </w:r>
            <w:r>
              <w:rPr>
                <w:rStyle w:val="11"/>
                <w:rFonts w:eastAsia="宋体"/>
                <w:lang w:val="en-US" w:eastAsia="zh-CN" w:bidi="ar"/>
              </w:rPr>
              <w:t>-</w:t>
            </w:r>
            <w:r>
              <w:rPr>
                <w:rStyle w:val="10"/>
                <w:lang w:val="en-US" w:eastAsia="zh-CN" w:bidi="ar"/>
              </w:rPr>
              <w:t>滨海新区大港油田心港假日给水管道工程</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E06A66">
            <w:pPr>
              <w:rPr>
                <w:rFonts w:hint="default" w:ascii="Arial" w:hAnsi="Arial" w:cs="Arial"/>
                <w:b/>
                <w:bCs/>
                <w:i w:val="0"/>
                <w:iCs w:val="0"/>
                <w:color w:val="000000"/>
                <w:sz w:val="32"/>
                <w:szCs w:val="32"/>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06BD01">
            <w:pPr>
              <w:rPr>
                <w:rFonts w:hint="default" w:ascii="Arial" w:hAnsi="Arial" w:cs="Arial"/>
                <w:b/>
                <w:bCs/>
                <w:i w:val="0"/>
                <w:iCs w:val="0"/>
                <w:color w:val="000000"/>
                <w:sz w:val="32"/>
                <w:szCs w:val="32"/>
                <w:u w:val="none"/>
              </w:rPr>
            </w:pPr>
          </w:p>
        </w:tc>
      </w:tr>
      <w:tr w14:paraId="5C54C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EB69D2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CCE48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3DFD9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734BE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FA770F">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1250</w:t>
            </w:r>
          </w:p>
        </w:tc>
      </w:tr>
      <w:tr w14:paraId="1E673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572D1B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068D0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FABFC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B8D25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FA0DE0">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r>
      <w:tr w14:paraId="6ED17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6768D1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29E16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B34B7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C6FD7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F15A0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1300</w:t>
            </w:r>
          </w:p>
        </w:tc>
      </w:tr>
      <w:tr w14:paraId="3A9C4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80E1A0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A2230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4CBFF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dn63PE管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0B48A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2A9F2F">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1050</w:t>
            </w:r>
          </w:p>
        </w:tc>
      </w:tr>
      <w:tr w14:paraId="4E236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4DDA4B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B5157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040501003001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500D7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DN100球管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124E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01BA6C">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r>
      <w:tr w14:paraId="7D16D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214B61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32891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C6519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DN300钢套管</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27682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98C6B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r>
      <w:tr w14:paraId="2222C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13DFE3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FA353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52AD3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dn200×22.5°弯头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63A18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5960C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6234F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D910B8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7844C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7CB91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dn200×45°弯头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A9C99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DB97F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r>
      <w:tr w14:paraId="50C7C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7F07B3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220FE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688D1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dn200×90°弯头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F93E6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897B0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r>
      <w:tr w14:paraId="58731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BE3F9E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B8A20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A6622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dn110×22.5°弯头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7F533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62DE9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5F921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142026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1C8A6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4821D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dn110×45°弯头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2A2B9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CB2AB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r>
      <w:tr w14:paraId="3C8EE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681638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70A80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040502003006</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9450B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dn110×90°弯头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1E9C8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2A90F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r>
      <w:tr w14:paraId="624EC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8B88A2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229E1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040502003007</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CB044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dn63×90°弯头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0AC40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6D45FC">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r>
      <w:tr w14:paraId="32A28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120E91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6F865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040502003008</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10880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dn200xdn200三通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DEE08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86786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r>
      <w:tr w14:paraId="07F2B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E1F1E0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EF535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040502003009</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E68B9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dn200xdn110三通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DEB43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5EFFA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r>
      <w:tr w14:paraId="33A5B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7EFA1F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1AE52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040502003010</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EE6A0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dn200×dn63三通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274C1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0D6D3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r>
      <w:tr w14:paraId="42246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2678AC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D6E72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EEB77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dn160xdn110三通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7F405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8143A0">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018DE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57EC3B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DD4ED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14580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dn110×dn63三通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4B510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1508B6">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r>
      <w:tr w14:paraId="62889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59EADE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D5FF6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FCA7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DN250xDN200卡子三通</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C1D04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24CD5D">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0D75F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078620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D140D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4F821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dn200xdn160大小头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CD409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730B3D">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733CE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3F9066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92587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FB5B3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dn200xdn110大小头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B3287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05464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r>
      <w:tr w14:paraId="43D14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3D8B6F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0DBBD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040502003016</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78952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dn160xdn110大小头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31897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39C16A">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r>
      <w:tr w14:paraId="4BADB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22271F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077D4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040502003017</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46825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dn110xdn63大小头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84BD8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24CBF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r>
      <w:tr w14:paraId="37317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49F531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43D9F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1DE7E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DN100弯头</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7D114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0D928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r>
      <w:tr w14:paraId="5D45E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38A70F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0EC93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040502003018</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C3270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DN200双法兰带伸缩节</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7A2E6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7BFB6C">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0504A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297426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62C34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57CAA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DN200直埋阀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D56C3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7C342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14:paraId="58018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B8C841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2ACEB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0F799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DN100直埋阀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3E9F9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A96F3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r>
      <w:tr w14:paraId="4F770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B15CE5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FC585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A9BD7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DN50截门</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149F8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32992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r>
      <w:tr w14:paraId="04040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6E45D8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14BA5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D82C8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DN200橡胶瓣止回阀</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22EA9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B6258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35EF5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F8B058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D8035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040502009001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827BE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DN200考核表</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F8F0C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1FEF66">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55322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803C4D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AA0DC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040502010001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F9A81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SS100-1.0地上消火栓</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D1EBF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0B1FE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r>
      <w:tr w14:paraId="0655C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99B775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88214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85809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DN200直埋阀井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FF657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1BD5B3">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14:paraId="0FDB9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F5E4B4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71151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3D68A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DN100直埋阀井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40273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4CCA8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r>
      <w:tr w14:paraId="3CFB0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3D8C14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28297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040504001003</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1ED15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DN50截门井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90F6A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C5A4F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r>
      <w:tr w14:paraId="49852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0BCA07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D8BC9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040504001004</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A9A61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DN200考核表井</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4822E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座</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BCD1E1">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r>
      <w:tr w14:paraId="4D938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68009BE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50F67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040501020001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893B4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标识带</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E5DE8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50786B">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3688</w:t>
            </w:r>
          </w:p>
        </w:tc>
      </w:tr>
      <w:tr w14:paraId="26A7D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024624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DBF5F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040502005005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790EB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标识桩</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1D50A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个</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2A069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r>
      <w:tr w14:paraId="73F81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CAC9B6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B66AC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040101002001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8D856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挖方</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DDC21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38036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3059.79</w:t>
            </w:r>
          </w:p>
        </w:tc>
      </w:tr>
      <w:tr w14:paraId="109CC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5" w:hRule="atLeast"/>
        </w:trPr>
        <w:tc>
          <w:tcPr>
            <w:tcW w:w="170" w:type="pct"/>
            <w:tcBorders>
              <w:top w:val="nil"/>
              <w:left w:val="nil"/>
              <w:bottom w:val="nil"/>
              <w:right w:val="nil"/>
            </w:tcBorders>
            <w:shd w:val="clear" w:color="auto" w:fill="auto"/>
            <w:noWrap/>
            <w:vAlign w:val="bottom"/>
          </w:tcPr>
          <w:p w14:paraId="38036FC7">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ACB32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040103001001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5EE69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砂垫层</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985F5D">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FFC2C4">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530.57</w:t>
            </w:r>
          </w:p>
        </w:tc>
      </w:tr>
      <w:tr w14:paraId="159FB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62D16D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9B593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040103001002</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A0410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回填方</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AB16BC">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38D888">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2472.25</w:t>
            </w:r>
          </w:p>
        </w:tc>
      </w:tr>
      <w:tr w14:paraId="5889C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7D7DC5F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F4C7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040103002001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58E73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余方弃置</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278F85">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4997FD">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587.54</w:t>
            </w:r>
          </w:p>
        </w:tc>
      </w:tr>
      <w:tr w14:paraId="2BB69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12081A84">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3AC94B">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040503002001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D9055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混凝土支墩</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353CA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5308D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r>
      <w:tr w14:paraId="578F6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48F091E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942A2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040501004005</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774CA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dn200塑料管拆除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8ABC7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64E2B7">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1250</w:t>
            </w:r>
          </w:p>
        </w:tc>
      </w:tr>
      <w:tr w14:paraId="4419A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2061219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F82919">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040501004006</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9FCBAE">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dn160塑料管拆除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E2489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4F4FBE">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r>
      <w:tr w14:paraId="1A7D4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5C67DB0A">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7BC4EF">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040501004007</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777786">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dn63塑料管拆除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3AD89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55D7F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1050</w:t>
            </w:r>
          </w:p>
        </w:tc>
      </w:tr>
      <w:tr w14:paraId="30276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0E019A1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BD5E4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040501004008</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6534D2">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dn110塑料管拆除</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4D8A8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m</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323DF9">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1348</w:t>
            </w:r>
          </w:p>
        </w:tc>
      </w:tr>
      <w:tr w14:paraId="7FE25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14:paraId="3A63BE61">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DCD640">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040509999001</w:t>
            </w:r>
          </w:p>
        </w:tc>
        <w:tc>
          <w:tcPr>
            <w:tcW w:w="28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943C43">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总损失水量</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A8F048">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  吨</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118202">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1380</w:t>
            </w:r>
          </w:p>
        </w:tc>
      </w:tr>
    </w:tbl>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附件6、</w:t>
      </w:r>
    </w:p>
    <w:p w14:paraId="3806D6DD">
      <w:pPr>
        <w:jc w:val="center"/>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设备租赁服务承诺书</w:t>
      </w:r>
    </w:p>
    <w:p w14:paraId="128FECB2">
      <w:pPr>
        <w:keepNext w:val="0"/>
        <w:keepLines w:val="0"/>
        <w:pageBreakBefore w:val="0"/>
        <w:widowControl w:val="0"/>
        <w:shd w:val="clear" w:color="auto" w:fill="auto"/>
        <w:kinsoku/>
        <w:wordWrap/>
        <w:overflowPunct/>
        <w:topLinePunct w:val="0"/>
        <w:autoSpaceDE/>
        <w:autoSpaceDN/>
        <w:bidi w:val="0"/>
        <w:adjustRightInd/>
        <w:snapToGrid/>
        <w:spacing w:afterAutospacing="0" w:line="480" w:lineRule="auto"/>
        <w:ind w:right="325" w:rightChars="155"/>
        <w:jc w:val="both"/>
        <w:textAlignment w:val="auto"/>
        <w:rPr>
          <w:rFonts w:hint="eastAsia" w:ascii="微软雅黑" w:hAnsi="微软雅黑" w:eastAsia="微软雅黑" w:cs="微软雅黑"/>
          <w:b w:val="0"/>
          <w:bCs w:val="0"/>
          <w:color w:val="auto"/>
          <w:sz w:val="21"/>
          <w:szCs w:val="21"/>
          <w:lang w:val="en-US" w:eastAsia="zh-CN"/>
        </w:rPr>
      </w:pPr>
    </w:p>
    <w:p w14:paraId="04F7C385">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感谢您选择我们的建筑设备出租服务。为了确保您在使用我们的服务过程中获得满意的服务体验，我们特此向您做出以下承诺：</w:t>
      </w:r>
    </w:p>
    <w:p w14:paraId="446FEB04">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一、服务承诺</w:t>
      </w:r>
    </w:p>
    <w:p w14:paraId="0A6E9E64">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1. 设备质量保证：我们提供的所有建筑设备均经过严格的质量检验，确保设备在出租期间能够正常运行，满足您的使用需求。</w:t>
      </w:r>
    </w:p>
    <w:p w14:paraId="09F7E156">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2. 设备维护与保养：我们将定期对出租设备进行维护和保养，确保设备在出租期间保持良好的运行状态。</w:t>
      </w:r>
    </w:p>
    <w:p w14:paraId="5969B201">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3. 快速响应：如果您在使用过程中遇到任何问题，我们将尽快响应并解决，确保您的施工进度不受影响。</w:t>
      </w:r>
    </w:p>
    <w:p w14:paraId="0B776659">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4. 安全保障：我们提供的设备均符合国家安全标准，确保您在施工过程中的安全。</w:t>
      </w:r>
    </w:p>
    <w:p w14:paraId="0D65B51A">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二、服务流程</w:t>
      </w:r>
    </w:p>
    <w:p w14:paraId="58F36370">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1. 需求沟通：我们将与您详细沟通，了解您的具体需求，为您提供最适合的设备和解决方案。</w:t>
      </w:r>
    </w:p>
    <w:p w14:paraId="24E5D902">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2. 签订合同：双方签订租赁合同，明确双方的权利和义务。</w:t>
      </w:r>
    </w:p>
    <w:p w14:paraId="1D397FBB">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3. 设备交付：我们将按照约定的时间将设备交付给您，并为您提供操作培训。</w:t>
      </w:r>
    </w:p>
    <w:p w14:paraId="1771E996">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4. 售后服务：在设备使用过程中，我们将提供全程跟踪服务，确保您的施工顺利进行。</w:t>
      </w:r>
    </w:p>
    <w:p w14:paraId="5B54B98E">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三、服务保障</w:t>
      </w:r>
    </w:p>
    <w:p w14:paraId="16F5D377">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1. 我们承诺，在设备出租期间，如设备出现质量问题，我们将免费更换或维修，确保您的施工不受影响。</w:t>
      </w:r>
    </w:p>
    <w:p w14:paraId="2C1F0CE7">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2. 我们将定期对设备进行检查和维护，确保设备始终处于良好的运行状态。</w:t>
      </w:r>
    </w:p>
    <w:p w14:paraId="79E608D4">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firstLine="420" w:firstLineChars="200"/>
        <w:jc w:val="both"/>
        <w:textAlignment w:val="auto"/>
        <w:rPr>
          <w:rFonts w:hint="eastAsia" w:ascii="微软雅黑" w:hAnsi="微软雅黑" w:eastAsia="微软雅黑" w:cs="微软雅黑"/>
          <w:b w:val="0"/>
          <w:bCs w:val="0"/>
          <w:color w:val="auto"/>
          <w:sz w:val="21"/>
          <w:szCs w:val="21"/>
          <w:lang w:val="en-US" w:eastAsia="zh-CN"/>
        </w:rPr>
      </w:pPr>
      <w:r>
        <w:rPr>
          <w:rFonts w:hint="eastAsia" w:ascii="微软雅黑" w:hAnsi="微软雅黑" w:eastAsia="微软雅黑" w:cs="微软雅黑"/>
          <w:b w:val="0"/>
          <w:bCs w:val="0"/>
          <w:color w:val="auto"/>
          <w:sz w:val="21"/>
          <w:szCs w:val="21"/>
          <w:lang w:val="en-US" w:eastAsia="zh-CN"/>
        </w:rPr>
        <w:t>3. 我们将为您提供专业的技术支持和咨询服务，帮助您解决施工过程中遇到的问题。</w:t>
      </w:r>
    </w:p>
    <w:p w14:paraId="69B3D300">
      <w:pPr>
        <w:keepNext w:val="0"/>
        <w:keepLines w:val="0"/>
        <w:pageBreakBefore w:val="0"/>
        <w:widowControl w:val="0"/>
        <w:shd w:val="clear" w:color="auto" w:fill="auto"/>
        <w:kinsoku/>
        <w:wordWrap/>
        <w:overflowPunct/>
        <w:topLinePunct w:val="0"/>
        <w:autoSpaceDE/>
        <w:autoSpaceDN/>
        <w:bidi w:val="0"/>
        <w:adjustRightInd/>
        <w:snapToGrid/>
        <w:spacing w:afterAutospacing="0" w:line="400" w:lineRule="exact"/>
        <w:ind w:right="325" w:rightChars="155"/>
        <w:jc w:val="both"/>
        <w:textAlignment w:val="auto"/>
        <w:rPr>
          <w:rFonts w:hint="eastAsia" w:ascii="微软雅黑" w:hAnsi="微软雅黑" w:eastAsia="微软雅黑" w:cs="微软雅黑"/>
          <w:b w:val="0"/>
          <w:bCs w:val="0"/>
          <w:color w:val="auto"/>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41"/>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8C4212"/>
    <w:rsid w:val="04D93529"/>
    <w:rsid w:val="0FA32EDB"/>
    <w:rsid w:val="1A130B9F"/>
    <w:rsid w:val="2322752F"/>
    <w:rsid w:val="28D8189E"/>
    <w:rsid w:val="2BC62C53"/>
    <w:rsid w:val="2BD41B95"/>
    <w:rsid w:val="2C9E73B0"/>
    <w:rsid w:val="337412EC"/>
    <w:rsid w:val="466F5018"/>
    <w:rsid w:val="4DF923F4"/>
    <w:rsid w:val="6908583C"/>
    <w:rsid w:val="6F75519E"/>
    <w:rsid w:val="75FD6576"/>
    <w:rsid w:val="7AB970E1"/>
    <w:rsid w:val="7D8C4212"/>
    <w:rsid w:val="7F083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Autospacing="1" w:afterAutospacing="1"/>
      <w:jc w:val="left"/>
    </w:pPr>
    <w:rPr>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41"/>
    <w:basedOn w:val="7"/>
    <w:qFormat/>
    <w:uiPriority w:val="0"/>
    <w:rPr>
      <w:rFonts w:hint="eastAsia" w:ascii="宋体" w:hAnsi="宋体" w:eastAsia="宋体" w:cs="宋体"/>
      <w:color w:val="000000"/>
      <w:sz w:val="20"/>
      <w:szCs w:val="20"/>
      <w:u w:val="none"/>
    </w:rPr>
  </w:style>
  <w:style w:type="character" w:customStyle="1" w:styleId="9">
    <w:name w:val="font31"/>
    <w:basedOn w:val="7"/>
    <w:qFormat/>
    <w:uiPriority w:val="0"/>
    <w:rPr>
      <w:rFonts w:hint="default" w:ascii="Arial" w:hAnsi="Arial" w:cs="Arial"/>
      <w:color w:val="000000"/>
      <w:sz w:val="20"/>
      <w:szCs w:val="20"/>
      <w:u w:val="none"/>
    </w:rPr>
  </w:style>
  <w:style w:type="character" w:customStyle="1" w:styleId="10">
    <w:name w:val="font21"/>
    <w:basedOn w:val="7"/>
    <w:uiPriority w:val="0"/>
    <w:rPr>
      <w:rFonts w:hint="eastAsia" w:ascii="宋体" w:hAnsi="宋体" w:eastAsia="宋体" w:cs="宋体"/>
      <w:b/>
      <w:bCs/>
      <w:color w:val="000000"/>
      <w:sz w:val="32"/>
      <w:szCs w:val="32"/>
      <w:u w:val="none"/>
    </w:rPr>
  </w:style>
  <w:style w:type="character" w:customStyle="1" w:styleId="11">
    <w:name w:val="font11"/>
    <w:basedOn w:val="7"/>
    <w:uiPriority w:val="0"/>
    <w:rPr>
      <w:rFonts w:hint="default" w:ascii="Arial" w:hAnsi="Arial" w:cs="Arial"/>
      <w:b/>
      <w:bCs/>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869</Words>
  <Characters>917</Characters>
  <Lines>0</Lines>
  <Paragraphs>0</Paragraphs>
  <TotalTime>7</TotalTime>
  <ScaleCrop>false</ScaleCrop>
  <LinksUpToDate>false</LinksUpToDate>
  <CharactersWithSpaces>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2025-05-26T06:17:00Z</dcterms:created>
  <dc:creator>Administrator</dc:creator>
  <cp:lastModifiedBy>Administrator</cp:lastModifiedBy>
  <dcterms:modified xsi:type="dcterms:W3CDTF">2025-09-28T06:10:59Z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9CE564E6E2B9438D896CAF1EA49AA834_13</vt:lpwstr>
  </property>
  <property fmtid="{D5CDD505-2E9C-101B-9397-08002B2CF9AE}" pid="4" name="KSOTemplateDocerSaveRecord">
    <vt:lpwstr>eyJoZGlkIjoiOWY0MWY4Yzc5YjI0MjMxNjBkNDM5NzY4MzAxNTI3ODUiLCJ1c2VySWQiOiIxNjc1MzY4MzU3In0=</vt:lpwstr>
  </property>
</Properties>
</file>