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957EA">
      <w:pPr>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天津市管道工程集团有限公司2025年度税务咨询服务项目</w:t>
      </w:r>
    </w:p>
    <w:p w14:paraId="2D0CD8F7">
      <w:pPr>
        <w:jc w:val="center"/>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询价文件</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103"/>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394" w:type="dxa"/>
            <w:gridSpan w:val="2"/>
          </w:tcPr>
          <w:p w14:paraId="024D51F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一、项目需求及概况：</w:t>
            </w:r>
          </w:p>
        </w:tc>
      </w:tr>
      <w:tr w14:paraId="5FF1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6BAC9BAA">
            <w:pPr>
              <w:jc w:val="center"/>
              <w:rPr>
                <w:rFonts w:hint="eastAsia" w:asciiTheme="minorEastAsia" w:hAnsiTheme="minorEastAsia" w:eastAsiaTheme="minorEastAsia" w:cstheme="minorEastAsia"/>
                <w:color w:val="auto"/>
                <w:kern w:val="2"/>
                <w:sz w:val="21"/>
                <w:szCs w:val="24"/>
                <w:highlight w:val="none"/>
                <w:vertAlign w:val="baseline"/>
                <w:lang w:val="en-US" w:eastAsia="zh-CN" w:bidi="ar-SA"/>
              </w:rPr>
            </w:pPr>
            <w:r>
              <w:rPr>
                <w:rFonts w:hint="eastAsia" w:asciiTheme="minorEastAsia" w:hAnsiTheme="minorEastAsia" w:eastAsiaTheme="minorEastAsia" w:cstheme="minorEastAsia"/>
                <w:color w:val="auto"/>
                <w:highlight w:val="none"/>
                <w:vertAlign w:val="baseline"/>
                <w:lang w:val="en-US" w:eastAsia="zh-CN"/>
              </w:rPr>
              <w:t>1、询价需求概况</w:t>
            </w:r>
          </w:p>
        </w:tc>
        <w:tc>
          <w:tcPr>
            <w:tcW w:w="7103" w:type="dxa"/>
            <w:shd w:val="clear" w:color="auto" w:fill="auto"/>
            <w:vAlign w:val="top"/>
          </w:tcPr>
          <w:p w14:paraId="4D94A750">
            <w:pPr>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1.1：</w:t>
            </w:r>
            <w:r>
              <w:rPr>
                <w:rFonts w:hint="eastAsia" w:asciiTheme="minorEastAsia" w:hAnsiTheme="minorEastAsia" w:cstheme="minorEastAsia"/>
                <w:color w:val="auto"/>
                <w:highlight w:val="none"/>
                <w:vertAlign w:val="baseline"/>
                <w:lang w:val="en-US" w:eastAsia="zh-CN"/>
              </w:rPr>
              <w:t>天津市管道工程集团有限公司（以下简称：天津管道）是大型国有集团公司，根据我单位日常税务管理需要，我方拟聘请一所税务师事务所提供常年税务顾问服务，为集团公司进行纳税筹划、防范纳税风险、提供政策支持，以提升集团公司税务管理水平。</w:t>
            </w:r>
          </w:p>
          <w:p w14:paraId="099E8D80">
            <w:pPr>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1.2：服务范围：</w:t>
            </w:r>
          </w:p>
          <w:p w14:paraId="19ADF77E">
            <w:pPr>
              <w:ind w:firstLine="210" w:firstLineChars="100"/>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（1）税收法律、法规方面的咨询，主要是对有关税收实体法与程序法的法律内容及纳税人执行中的疑问进行咨询；</w:t>
            </w:r>
          </w:p>
          <w:p w14:paraId="761B4F5C">
            <w:pPr>
              <w:ind w:firstLine="210" w:firstLineChars="100"/>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（2）税收政策方面的咨询，主要是对相关国家税收政策的咨询；</w:t>
            </w:r>
          </w:p>
          <w:p w14:paraId="3B195C9F">
            <w:pPr>
              <w:ind w:firstLine="210" w:firstLineChars="100"/>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（3）办税实务方面的咨询，主要对有关税收征管规程、办税实务操作的环节、技术处理及具体方法的咨询；</w:t>
            </w:r>
          </w:p>
          <w:p w14:paraId="6957A940">
            <w:pPr>
              <w:ind w:firstLine="210" w:firstLineChars="100"/>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（4）会计处理方面的咨询，主要是对有关涉税会计账务处理的问题咨询，并且出具书面的意见书</w:t>
            </w:r>
          </w:p>
          <w:p w14:paraId="69DAE02F">
            <w:pPr>
              <w:ind w:firstLine="210" w:firstLineChars="100"/>
              <w:jc w:val="left"/>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（5）提供专项财税问题咨询及出具预防企业税务风险管理的意见书等。</w:t>
            </w:r>
          </w:p>
          <w:p w14:paraId="05B08415">
            <w:pPr>
              <w:jc w:val="left"/>
              <w:rPr>
                <w:rFonts w:hint="eastAsia" w:asciiTheme="minorEastAsia" w:hAnsiTheme="minorEastAsia" w:eastAsiaTheme="minorEastAsia" w:cstheme="minorEastAsia"/>
                <w:color w:val="auto"/>
                <w:kern w:val="2"/>
                <w:sz w:val="21"/>
                <w:szCs w:val="24"/>
                <w:highlight w:val="none"/>
                <w:vertAlign w:val="baseline"/>
                <w:lang w:val="en-US" w:eastAsia="zh-CN" w:bidi="ar-SA"/>
              </w:rPr>
            </w:pPr>
            <w:r>
              <w:rPr>
                <w:rFonts w:hint="eastAsia" w:asciiTheme="minorEastAsia" w:hAnsiTheme="minorEastAsia" w:cstheme="minorEastAsia"/>
                <w:color w:val="auto"/>
                <w:highlight w:val="none"/>
                <w:vertAlign w:val="baseline"/>
                <w:lang w:val="en-US" w:eastAsia="zh-CN"/>
              </w:rPr>
              <w:t>1.3：服务要求:应满足现行国家法律、法规等。并对咨询的重点税务事项出具书面意见书或纳税筹划，年底形成咨询内容清单。</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94" w:type="dxa"/>
            <w:gridSpan w:val="2"/>
            <w:vAlign w:val="center"/>
          </w:tcPr>
          <w:p w14:paraId="6B61455C">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1、基本资质要求</w:t>
            </w:r>
          </w:p>
        </w:tc>
        <w:tc>
          <w:tcPr>
            <w:tcW w:w="7103" w:type="dxa"/>
            <w:vMerge w:val="restart"/>
          </w:tcPr>
          <w:p w14:paraId="14980186">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1.1：具备中华人民共和国营业执照及相应的经营范围，且在有效期内；</w:t>
            </w:r>
          </w:p>
          <w:p w14:paraId="55D0B8E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1.2：报价人应为水务集团合格供应商（“津水云采”平台注册审核通过并购买CA证书且为激活状态的供应商）（合格供应商注册网址：http://www.jinshuiyuncai.com/）</w:t>
            </w:r>
            <w:r>
              <w:rPr>
                <w:rFonts w:hint="eastAsia" w:asciiTheme="minorEastAsia" w:hAnsiTheme="minorEastAsia" w:cstheme="minorEastAsia"/>
                <w:color w:val="auto"/>
                <w:highlight w:val="none"/>
                <w:vertAlign w:val="baseline"/>
                <w:lang w:val="en-US" w:eastAsia="zh-CN"/>
              </w:rPr>
              <w:t>；</w:t>
            </w:r>
          </w:p>
          <w:p w14:paraId="72045734">
            <w:p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1.3：未被列入“信用中国”网站(www.creditchina.gov.cn)等渠道查询信用记录失信被执行人、重大税收违法案件当事人名单、政府采购严重违法失信行为记录名单</w:t>
            </w:r>
            <w:r>
              <w:rPr>
                <w:rFonts w:hint="eastAsia" w:asciiTheme="minorEastAsia" w:hAnsiTheme="minorEastAsia" w:cstheme="minorEastAsia"/>
                <w:color w:val="auto"/>
                <w:highlight w:val="none"/>
                <w:vertAlign w:val="baseline"/>
                <w:lang w:val="en-US" w:eastAsia="zh-CN"/>
              </w:rPr>
              <w:t>；</w:t>
            </w:r>
          </w:p>
          <w:p w14:paraId="3520E811">
            <w:p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1.4：提供合格的开户许可证或银行基本存款信息证明文件；</w:t>
            </w:r>
          </w:p>
          <w:p w14:paraId="1A9C5528">
            <w:p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1.5：具有中国合格评定国家认可机关颁发的资质证书，且许可范围满足本次采购服务范围及相关要求；</w:t>
            </w:r>
          </w:p>
          <w:p w14:paraId="1D706545">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1.6：信誉良好，不存在被责令停业等严重违法违规行为。</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7103" w:type="dxa"/>
            <w:vMerge w:val="continue"/>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7103" w:type="dxa"/>
            <w:vMerge w:val="continue"/>
          </w:tcPr>
          <w:p w14:paraId="770C55D2">
            <w:pPr>
              <w:jc w:val="both"/>
              <w:rPr>
                <w:rFonts w:hint="eastAsia" w:asciiTheme="minorEastAsia" w:hAnsiTheme="minorEastAsia" w:eastAsiaTheme="minorEastAsia" w:cstheme="minorEastAsia"/>
                <w:color w:val="auto"/>
                <w:vertAlign w:val="baseline"/>
                <w:lang w:val="en-US" w:eastAsia="zh-CN"/>
              </w:rPr>
            </w:pP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3C5238B2">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三、项目控制价</w:t>
            </w:r>
            <w:r>
              <w:rPr>
                <w:rFonts w:hint="eastAsia" w:asciiTheme="minorEastAsia" w:hAnsiTheme="minorEastAsia" w:cstheme="minorEastAsia"/>
                <w:color w:val="auto"/>
                <w:highlight w:val="none"/>
                <w:vertAlign w:val="baseline"/>
                <w:lang w:val="en-US" w:eastAsia="zh-CN"/>
              </w:rPr>
              <w:t>: 7</w:t>
            </w:r>
            <w:r>
              <w:rPr>
                <w:rFonts w:hint="eastAsia" w:asciiTheme="minorEastAsia" w:hAnsiTheme="minorEastAsia" w:eastAsiaTheme="minorEastAsia" w:cstheme="minorEastAsia"/>
                <w:color w:val="auto"/>
                <w:highlight w:val="none"/>
                <w:vertAlign w:val="baseline"/>
                <w:lang w:val="en-US" w:eastAsia="zh-CN"/>
              </w:rPr>
              <w:t>万元。报价为含税价格。一切费用已包含在报价中，采购人不再额外支付费用。</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48D883C3">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四、评审方式：综合评分法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1、声明</w:t>
            </w:r>
          </w:p>
        </w:tc>
        <w:tc>
          <w:tcPr>
            <w:tcW w:w="7103" w:type="dxa"/>
          </w:tcPr>
          <w:p w14:paraId="34D1E0A2">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1.1：</w:t>
            </w:r>
            <w:r>
              <w:rPr>
                <w:rFonts w:hint="eastAsia" w:asciiTheme="minorEastAsia" w:hAnsiTheme="minorEastAsia" w:eastAsiaTheme="minorEastAsia" w:cstheme="minorEastAsia"/>
                <w:color w:val="auto"/>
                <w:highlight w:val="none"/>
                <w:vertAlign w:val="baseline"/>
                <w:lang w:val="en-US" w:eastAsia="zh-CN"/>
              </w:rPr>
              <w:t>本次项目询价需按格式要求提供报价，采购人将参考其他供应商报价、历史采购价和近期市场价格等，对于异常低价可能导致影响履约的报价，应要求供应商进行澄清，供应商不能说明其报价合理或保证履约的，采购人有权否决该供应商。</w:t>
            </w:r>
          </w:p>
        </w:tc>
      </w:tr>
      <w:tr w14:paraId="516EC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trPr>
        <w:tc>
          <w:tcPr>
            <w:tcW w:w="1291" w:type="dxa"/>
            <w:shd w:val="clear" w:color="auto" w:fill="FEF2CB" w:themeFill="accent3" w:themeFillTint="32"/>
            <w:vAlign w:val="center"/>
          </w:tcPr>
          <w:p w14:paraId="06F395C9">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2、评分标准</w:t>
            </w:r>
          </w:p>
        </w:tc>
        <w:tc>
          <w:tcPr>
            <w:tcW w:w="7103" w:type="dxa"/>
            <w:shd w:val="clear" w:color="auto" w:fill="FEF2CB" w:themeFill="accent3" w:themeFillTint="32"/>
          </w:tcPr>
          <w:p w14:paraId="2434E016">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2.1：商务分共</w:t>
            </w:r>
            <w:r>
              <w:rPr>
                <w:rFonts w:hint="eastAsia" w:asciiTheme="minorEastAsia" w:hAnsiTheme="minorEastAsia" w:cstheme="minorEastAsia"/>
                <w:color w:val="auto"/>
                <w:highlight w:val="none"/>
                <w:vertAlign w:val="baseline"/>
                <w:lang w:val="en-US" w:eastAsia="zh-CN"/>
              </w:rPr>
              <w:t>15</w:t>
            </w:r>
            <w:r>
              <w:rPr>
                <w:rFonts w:hint="eastAsia" w:asciiTheme="minorEastAsia" w:hAnsiTheme="minorEastAsia" w:eastAsiaTheme="minorEastAsia" w:cstheme="minorEastAsia"/>
                <w:color w:val="auto"/>
                <w:highlight w:val="none"/>
                <w:vertAlign w:val="baseline"/>
                <w:lang w:val="en-US" w:eastAsia="zh-CN"/>
              </w:rPr>
              <w:t>分</w:t>
            </w:r>
          </w:p>
          <w:p w14:paraId="317869F8">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商务分规则：</w:t>
            </w:r>
          </w:p>
          <w:p w14:paraId="1E112AA9">
            <w:pPr>
              <w:ind w:firstLine="420" w:firstLineChars="200"/>
              <w:jc w:val="both"/>
              <w:rPr>
                <w:rFonts w:hint="eastAsia" w:ascii="宋体" w:hAnsi="宋体" w:eastAsia="宋体" w:cs="仿宋_GB2312"/>
                <w:color w:val="auto"/>
                <w:kern w:val="0"/>
                <w:sz w:val="21"/>
                <w:szCs w:val="21"/>
                <w:highlight w:val="none"/>
                <w:lang w:val="en-US" w:eastAsia="zh-CN"/>
              </w:rPr>
            </w:pPr>
            <w:r>
              <w:rPr>
                <w:rFonts w:hint="eastAsia" w:ascii="宋体" w:hAnsi="宋体" w:eastAsia="宋体" w:cs="仿宋_GB2312"/>
                <w:color w:val="auto"/>
                <w:kern w:val="0"/>
                <w:sz w:val="21"/>
                <w:szCs w:val="21"/>
                <w:highlight w:val="none"/>
                <w:lang w:val="en-US" w:eastAsia="zh-CN"/>
              </w:rPr>
              <w:t>报价按从低到高依次排序，以最低有效投标报价作为评标基准价，其价格分为满分15分，其他投标单位按照报价从低至高依次减1分，报价相同的得分一致。</w:t>
            </w:r>
          </w:p>
          <w:p w14:paraId="31EC3CC9">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2.2：技术分共</w:t>
            </w:r>
            <w:r>
              <w:rPr>
                <w:rFonts w:hint="eastAsia" w:asciiTheme="minorEastAsia" w:hAnsiTheme="minorEastAsia" w:cstheme="minorEastAsia"/>
                <w:color w:val="auto"/>
                <w:highlight w:val="none"/>
                <w:vertAlign w:val="baseline"/>
                <w:lang w:val="en-US" w:eastAsia="zh-CN"/>
              </w:rPr>
              <w:t>85</w:t>
            </w:r>
            <w:r>
              <w:rPr>
                <w:rFonts w:hint="eastAsia" w:asciiTheme="minorEastAsia" w:hAnsiTheme="minorEastAsia" w:eastAsiaTheme="minorEastAsia" w:cstheme="minorEastAsia"/>
                <w:color w:val="auto"/>
                <w:highlight w:val="none"/>
                <w:vertAlign w:val="baseline"/>
                <w:lang w:val="en-US" w:eastAsia="zh-CN"/>
              </w:rPr>
              <w:t>分</w:t>
            </w:r>
          </w:p>
          <w:p w14:paraId="073EA5BA">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技术分部分规则</w:t>
            </w:r>
            <w:r>
              <w:rPr>
                <w:rFonts w:hint="eastAsia" w:asciiTheme="minorEastAsia" w:hAnsiTheme="minorEastAsia" w:cstheme="minorEastAsia"/>
                <w:color w:val="auto"/>
                <w:highlight w:val="none"/>
                <w:vertAlign w:val="baseline"/>
                <w:lang w:val="en-US" w:eastAsia="zh-CN"/>
              </w:rPr>
              <w:t>及明细</w:t>
            </w:r>
            <w:r>
              <w:rPr>
                <w:rFonts w:hint="eastAsia" w:asciiTheme="minorEastAsia" w:hAnsiTheme="minorEastAsia" w:eastAsiaTheme="minorEastAsia" w:cstheme="minorEastAsia"/>
                <w:color w:val="auto"/>
                <w:highlight w:val="none"/>
                <w:vertAlign w:val="baseline"/>
                <w:lang w:val="en-US" w:eastAsia="zh-CN"/>
              </w:rPr>
              <w:t>：</w:t>
            </w:r>
          </w:p>
          <w:p w14:paraId="40EBFF3A">
            <w:pPr>
              <w:numPr>
                <w:ilvl w:val="0"/>
                <w:numId w:val="1"/>
              </w:num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投标人相关业绩：</w:t>
            </w:r>
            <w:r>
              <w:rPr>
                <w:rFonts w:hint="eastAsia" w:ascii="宋体" w:hAnsi="宋体" w:eastAsia="宋体" w:cs="仿宋_GB2312"/>
                <w:color w:val="auto"/>
                <w:kern w:val="0"/>
                <w:sz w:val="21"/>
                <w:szCs w:val="21"/>
                <w:highlight w:val="none"/>
                <w:lang w:eastAsia="zh-CN"/>
              </w:rPr>
              <w:t>提供事务所相关服务业绩证明材料，每个业绩5分，最高20分。</w:t>
            </w:r>
          </w:p>
          <w:p w14:paraId="35DF16FA">
            <w:pPr>
              <w:numPr>
                <w:ilvl w:val="0"/>
                <w:numId w:val="1"/>
              </w:num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针对本项目人员投入及资质：</w:t>
            </w:r>
          </w:p>
          <w:p w14:paraId="1F5F3C95">
            <w:pPr>
              <w:numPr>
                <w:ilvl w:val="0"/>
                <w:numId w:val="0"/>
              </w:numPr>
              <w:ind w:firstLine="420" w:firstLineChars="200"/>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本项目服务人员配置情况是否能满足项目实施需求，需提供注册税务师证书，满分25分。</w:t>
            </w:r>
          </w:p>
          <w:p w14:paraId="641EDF34">
            <w:pPr>
              <w:numPr>
                <w:ilvl w:val="0"/>
                <w:numId w:val="1"/>
              </w:num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项目服务方案：满分40分</w:t>
            </w:r>
          </w:p>
          <w:p w14:paraId="1EC0A9C9">
            <w:pPr>
              <w:numPr>
                <w:ilvl w:val="0"/>
                <w:numId w:val="0"/>
              </w:numPr>
              <w:ind w:firstLine="420" w:firstLineChars="200"/>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①方案完整详细，针对性、可操作性强，完全满足采购需求，得30-40分；</w:t>
            </w:r>
          </w:p>
          <w:p w14:paraId="603D0314">
            <w:pPr>
              <w:numPr>
                <w:ilvl w:val="0"/>
                <w:numId w:val="0"/>
              </w:numPr>
              <w:ind w:firstLine="420" w:firstLineChars="200"/>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②方案较为详细，针对性、可操作性较强，完全满足采购需求，得15-30分；</w:t>
            </w:r>
          </w:p>
          <w:p w14:paraId="2B31E4DD">
            <w:pPr>
              <w:numPr>
                <w:ilvl w:val="0"/>
                <w:numId w:val="0"/>
              </w:numPr>
              <w:ind w:firstLine="420" w:firstLineChars="200"/>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③方案偏简单，针对性、可操作性一般，基本满足采购需求，得15分以下。</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374AAF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五、服务期限：</w:t>
            </w:r>
            <w:r>
              <w:rPr>
                <w:rFonts w:hint="eastAsia" w:asciiTheme="minorEastAsia" w:hAnsiTheme="minorEastAsia" w:cstheme="minorEastAsia"/>
                <w:color w:val="auto"/>
                <w:highlight w:val="none"/>
                <w:vertAlign w:val="baseline"/>
                <w:lang w:val="en-US" w:eastAsia="zh-CN"/>
              </w:rPr>
              <w:t>1年，具体服务期限最终以合同签订为准。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7E3C8E1">
            <w:pPr>
              <w:numPr>
                <w:ilvl w:val="0"/>
                <w:numId w:val="2"/>
              </w:num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付款</w:t>
            </w:r>
            <w:r>
              <w:rPr>
                <w:rFonts w:hint="eastAsia" w:asciiTheme="minorEastAsia" w:hAnsiTheme="minorEastAsia" w:cstheme="minorEastAsia"/>
                <w:highlight w:val="none"/>
                <w:vertAlign w:val="baseline"/>
                <w:lang w:val="en-US" w:eastAsia="zh-CN"/>
              </w:rPr>
              <w:t>条件及</w:t>
            </w:r>
            <w:r>
              <w:rPr>
                <w:rFonts w:hint="eastAsia" w:asciiTheme="minorEastAsia" w:hAnsiTheme="minorEastAsia" w:eastAsiaTheme="minorEastAsia" w:cstheme="minorEastAsia"/>
                <w:highlight w:val="none"/>
                <w:vertAlign w:val="baseline"/>
                <w:lang w:val="en-US" w:eastAsia="zh-CN"/>
              </w:rPr>
              <w:t>方式：</w:t>
            </w:r>
          </w:p>
        </w:tc>
      </w:tr>
      <w:tr w14:paraId="4B2D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2041D77">
            <w:pPr>
              <w:jc w:val="center"/>
              <w:rPr>
                <w:rFonts w:hint="default"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1、付款方式</w:t>
            </w:r>
          </w:p>
        </w:tc>
        <w:tc>
          <w:tcPr>
            <w:tcW w:w="7103" w:type="dxa"/>
          </w:tcPr>
          <w:p w14:paraId="6A45C95F">
            <w:pPr>
              <w:ind w:firstLine="210" w:firstLineChars="100"/>
              <w:jc w:val="both"/>
              <w:rPr>
                <w:rFonts w:hint="eastAsia" w:asciiTheme="minorEastAsia" w:hAnsiTheme="minorEastAsia" w:cstheme="minorEastAsia"/>
                <w:color w:val="auto"/>
                <w:highlight w:val="yellow"/>
                <w:vertAlign w:val="baseline"/>
                <w:lang w:val="en-US" w:eastAsia="zh-CN"/>
              </w:rPr>
            </w:pPr>
            <w:r>
              <w:rPr>
                <w:rFonts w:hint="eastAsia" w:asciiTheme="minorEastAsia" w:hAnsiTheme="minorEastAsia" w:cstheme="minorEastAsia"/>
                <w:color w:val="auto"/>
                <w:highlight w:val="yellow"/>
                <w:vertAlign w:val="baseline"/>
                <w:lang w:val="en-US" w:eastAsia="zh-CN"/>
              </w:rPr>
              <w:t>（1）首笔款项：合同价款的50%，于双方签署合同后，询价方在15日内支付至服务方指定银行账户。</w:t>
            </w:r>
          </w:p>
          <w:p w14:paraId="5813F81C">
            <w:pPr>
              <w:ind w:firstLine="210" w:firstLineChars="100"/>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yellow"/>
                <w:vertAlign w:val="baseline"/>
                <w:lang w:val="en-US" w:eastAsia="zh-CN"/>
              </w:rPr>
              <w:t>（2）尾款于服务完成并经询价方验收确认后支付至服务方指定银行账户。</w:t>
            </w:r>
          </w:p>
        </w:tc>
      </w:tr>
      <w:tr w14:paraId="0011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1291" w:type="dxa"/>
            <w:vAlign w:val="center"/>
          </w:tcPr>
          <w:p w14:paraId="6E7BB143">
            <w:pPr>
              <w:jc w:val="center"/>
              <w:rPr>
                <w:rFonts w:hint="default"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2、发票说明</w:t>
            </w:r>
          </w:p>
        </w:tc>
        <w:tc>
          <w:tcPr>
            <w:tcW w:w="7103" w:type="dxa"/>
          </w:tcPr>
          <w:p w14:paraId="4AA86726">
            <w:pPr>
              <w:ind w:firstLine="210" w:firstLineChars="100"/>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FF0000"/>
                <w:highlight w:val="none"/>
                <w:vertAlign w:val="baseline"/>
                <w:lang w:val="en-US" w:eastAsia="zh-CN"/>
              </w:rPr>
              <w:t>询价方支付给服务方服务费前，服务方应向询价方提供有效的增值税专用发票，否则不予支付。</w:t>
            </w:r>
          </w:p>
        </w:tc>
      </w:tr>
      <w:tr w14:paraId="5B0B0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vAlign w:val="center"/>
          </w:tcPr>
          <w:p w14:paraId="60AD03BB">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1、报价起止时间</w:t>
            </w:r>
          </w:p>
        </w:tc>
        <w:tc>
          <w:tcPr>
            <w:tcW w:w="7103" w:type="dxa"/>
          </w:tcPr>
          <w:p w14:paraId="4ACF6E08">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2025年</w:t>
            </w:r>
            <w:r>
              <w:rPr>
                <w:rFonts w:hint="eastAsia" w:asciiTheme="minorEastAsia" w:hAnsiTheme="minorEastAsia" w:cstheme="minorEastAsia"/>
                <w:color w:val="auto"/>
                <w:highlight w:val="none"/>
                <w:vertAlign w:val="baseline"/>
                <w:lang w:val="en-US" w:eastAsia="zh-CN"/>
              </w:rPr>
              <w:t>6</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6</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11</w:t>
            </w:r>
            <w:r>
              <w:rPr>
                <w:rFonts w:hint="eastAsia" w:asciiTheme="minorEastAsia" w:hAnsiTheme="minorEastAsia" w:eastAsiaTheme="minorEastAsia" w:cstheme="minorEastAsia"/>
                <w:color w:val="auto"/>
                <w:highlight w:val="none"/>
                <w:vertAlign w:val="baseline"/>
                <w:lang w:val="en-US" w:eastAsia="zh-CN"/>
              </w:rPr>
              <w:t>时</w:t>
            </w:r>
            <w:r>
              <w:rPr>
                <w:rFonts w:hint="eastAsia" w:asciiTheme="minorEastAsia" w:hAnsiTheme="minorEastAsia" w:cstheme="minorEastAsia"/>
                <w:color w:val="auto"/>
                <w:highlight w:val="none"/>
                <w:vertAlign w:val="baseline"/>
                <w:lang w:val="en-US" w:eastAsia="zh-CN"/>
              </w:rPr>
              <w:t>00分</w:t>
            </w:r>
            <w:r>
              <w:rPr>
                <w:rFonts w:hint="eastAsia" w:asciiTheme="minorEastAsia" w:hAnsiTheme="minorEastAsia" w:eastAsiaTheme="minorEastAsia" w:cstheme="minorEastAsia"/>
                <w:color w:val="auto"/>
                <w:highlight w:val="none"/>
                <w:vertAlign w:val="baseline"/>
                <w:lang w:val="en-US" w:eastAsia="zh-CN"/>
              </w:rPr>
              <w:t>至2025年</w:t>
            </w:r>
            <w:r>
              <w:rPr>
                <w:rFonts w:hint="eastAsia" w:asciiTheme="minorEastAsia" w:hAnsiTheme="minorEastAsia" w:cstheme="minorEastAsia"/>
                <w:color w:val="auto"/>
                <w:highlight w:val="none"/>
                <w:vertAlign w:val="baseline"/>
                <w:lang w:val="en-US" w:eastAsia="zh-CN"/>
              </w:rPr>
              <w:t>6</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11</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11</w:t>
            </w:r>
            <w:r>
              <w:rPr>
                <w:rFonts w:hint="eastAsia" w:asciiTheme="minorEastAsia" w:hAnsiTheme="minorEastAsia" w:eastAsiaTheme="minorEastAsia" w:cstheme="minorEastAsia"/>
                <w:color w:val="auto"/>
                <w:highlight w:val="none"/>
                <w:vertAlign w:val="baseline"/>
                <w:lang w:val="en-US" w:eastAsia="zh-CN"/>
              </w:rPr>
              <w:t>时</w:t>
            </w:r>
            <w:r>
              <w:rPr>
                <w:rFonts w:hint="eastAsia" w:asciiTheme="minorEastAsia" w:hAnsiTheme="minorEastAsia" w:cstheme="minorEastAsia"/>
                <w:color w:val="auto"/>
                <w:highlight w:val="none"/>
                <w:vertAlign w:val="baseline"/>
                <w:lang w:val="en-US" w:eastAsia="zh-CN"/>
              </w:rPr>
              <w:t>00分</w:t>
            </w:r>
            <w:r>
              <w:rPr>
                <w:rFonts w:hint="eastAsia" w:asciiTheme="minorEastAsia" w:hAnsiTheme="minorEastAsia" w:eastAsiaTheme="minorEastAsia" w:cstheme="minorEastAsia"/>
                <w:color w:val="auto"/>
                <w:highlight w:val="none"/>
                <w:vertAlign w:val="baseline"/>
                <w:lang w:val="en-US" w:eastAsia="zh-CN"/>
              </w:rPr>
              <w:t>（北京时间）；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2、开标时间</w:t>
            </w:r>
          </w:p>
        </w:tc>
        <w:tc>
          <w:tcPr>
            <w:tcW w:w="7103" w:type="dxa"/>
          </w:tcPr>
          <w:p w14:paraId="71233D8A">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2025年</w:t>
            </w:r>
            <w:r>
              <w:rPr>
                <w:rFonts w:hint="eastAsia" w:asciiTheme="minorEastAsia" w:hAnsiTheme="minorEastAsia" w:cstheme="minorEastAsia"/>
                <w:color w:val="auto"/>
                <w:highlight w:val="none"/>
                <w:vertAlign w:val="baseline"/>
                <w:lang w:val="en-US" w:eastAsia="zh-CN"/>
              </w:rPr>
              <w:t>6</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11</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11</w:t>
            </w:r>
            <w:bookmarkStart w:id="0" w:name="_GoBack"/>
            <w:bookmarkEnd w:id="0"/>
            <w:r>
              <w:rPr>
                <w:rFonts w:hint="eastAsia" w:asciiTheme="minorEastAsia" w:hAnsiTheme="minorEastAsia" w:eastAsiaTheme="minorEastAsia" w:cstheme="minorEastAsia"/>
                <w:color w:val="auto"/>
                <w:highlight w:val="none"/>
                <w:vertAlign w:val="baseline"/>
                <w:lang w:val="en-US" w:eastAsia="zh-CN"/>
              </w:rPr>
              <w:t>时</w:t>
            </w:r>
            <w:r>
              <w:rPr>
                <w:rFonts w:hint="eastAsia" w:asciiTheme="minorEastAsia" w:hAnsiTheme="minorEastAsia" w:cstheme="minorEastAsia"/>
                <w:color w:val="auto"/>
                <w:highlight w:val="none"/>
                <w:vertAlign w:val="baseline"/>
                <w:lang w:val="en-US" w:eastAsia="zh-CN"/>
              </w:rPr>
              <w:t>00分</w:t>
            </w:r>
            <w:r>
              <w:rPr>
                <w:rFonts w:hint="eastAsia" w:asciiTheme="minorEastAsia" w:hAnsiTheme="minorEastAsia" w:eastAsiaTheme="minorEastAsia" w:cstheme="minorEastAsia"/>
                <w:color w:val="auto"/>
                <w:highlight w:val="none"/>
                <w:vertAlign w:val="baseline"/>
                <w:lang w:val="en-US" w:eastAsia="zh-CN"/>
              </w:rPr>
              <w:t>（北京时间）。</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152152A0">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八、报价方式：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8A7565B">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1、线上报价方式</w:t>
            </w:r>
          </w:p>
        </w:tc>
        <w:tc>
          <w:tcPr>
            <w:tcW w:w="7103" w:type="dxa"/>
          </w:tcPr>
          <w:p w14:paraId="15B7313B">
            <w:pPr>
              <w:ind w:firstLine="210" w:firstLineChars="100"/>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本次询价项目采用线上开标的方式，报价人</w:t>
            </w:r>
            <w:r>
              <w:rPr>
                <w:rFonts w:hint="eastAsia" w:asciiTheme="minorEastAsia" w:hAnsiTheme="minorEastAsia" w:eastAsiaTheme="minorEastAsia" w:cstheme="minorEastAsia"/>
                <w:color w:val="auto"/>
                <w:highlight w:val="none"/>
                <w:vertAlign w:val="baseline"/>
                <w:lang w:val="en-US" w:eastAsia="zh-CN"/>
              </w:rPr>
              <w:t>按照要求准备报价文件并加盖公章法人章，于报价截止日期前将材料的扫描件发布到津水云采投标平台。</w:t>
            </w:r>
          </w:p>
          <w:p w14:paraId="206E0A3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开标</w:t>
            </w:r>
            <w:r>
              <w:rPr>
                <w:rFonts w:hint="eastAsia" w:asciiTheme="minorEastAsia" w:hAnsiTheme="minorEastAsia" w:eastAsiaTheme="minorEastAsia" w:cstheme="minorEastAsia"/>
                <w:color w:val="auto"/>
                <w:highlight w:val="none"/>
                <w:vertAlign w:val="baseline"/>
                <w:lang w:val="en-US" w:eastAsia="zh-CN"/>
              </w:rPr>
              <w:t>地点：天津市和平区赤峰道91号</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1、基本</w:t>
            </w:r>
            <w:r>
              <w:rPr>
                <w:rFonts w:hint="eastAsia" w:asciiTheme="minorEastAsia" w:hAnsiTheme="minorEastAsia" w:cstheme="minorEastAsia"/>
                <w:color w:val="auto"/>
                <w:highlight w:val="none"/>
                <w:vertAlign w:val="baseline"/>
                <w:lang w:val="en-US" w:eastAsia="zh-CN"/>
              </w:rPr>
              <w:t>组成</w:t>
            </w:r>
            <w:r>
              <w:rPr>
                <w:rFonts w:hint="eastAsia" w:asciiTheme="minorEastAsia" w:hAnsiTheme="minorEastAsia" w:eastAsiaTheme="minorEastAsia" w:cstheme="minorEastAsia"/>
                <w:color w:val="auto"/>
                <w:highlight w:val="none"/>
                <w:vertAlign w:val="baseline"/>
                <w:lang w:val="en-US" w:eastAsia="zh-CN"/>
              </w:rPr>
              <w:t>要求</w:t>
            </w:r>
          </w:p>
        </w:tc>
        <w:tc>
          <w:tcPr>
            <w:tcW w:w="7103" w:type="dxa"/>
          </w:tcPr>
          <w:p w14:paraId="33427A2B">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1.1：法定代表人（负责人）资格证明书（见附件</w:t>
            </w:r>
            <w:r>
              <w:rPr>
                <w:rFonts w:hint="eastAsia" w:asciiTheme="minorEastAsia" w:hAnsiTheme="minorEastAsia" w:cstheme="minorEastAsia"/>
                <w:color w:val="auto"/>
                <w:highlight w:val="none"/>
                <w:vertAlign w:val="baseline"/>
                <w:lang w:val="en-US" w:eastAsia="zh-CN"/>
              </w:rPr>
              <w:t>1</w:t>
            </w:r>
            <w:r>
              <w:rPr>
                <w:rFonts w:hint="eastAsia" w:asciiTheme="minorEastAsia" w:hAnsiTheme="minorEastAsia" w:eastAsiaTheme="minorEastAsia" w:cstheme="minorEastAsia"/>
                <w:color w:val="auto"/>
                <w:highlight w:val="none"/>
                <w:vertAlign w:val="baseline"/>
                <w:lang w:val="en-US" w:eastAsia="zh-CN"/>
              </w:rPr>
              <w:t>）；</w:t>
            </w:r>
          </w:p>
          <w:p w14:paraId="7D28F620">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1.2：报价单位法定代表人授权委托书（如有委托人时提供，见附件</w:t>
            </w:r>
            <w:r>
              <w:rPr>
                <w:rFonts w:hint="eastAsia" w:asciiTheme="minorEastAsia" w:hAnsiTheme="minorEastAsia" w:cstheme="minorEastAsia"/>
                <w:color w:val="auto"/>
                <w:highlight w:val="none"/>
                <w:vertAlign w:val="baseline"/>
                <w:lang w:val="en-US" w:eastAsia="zh-CN"/>
              </w:rPr>
              <w:t>2</w:t>
            </w:r>
            <w:r>
              <w:rPr>
                <w:rFonts w:hint="eastAsia" w:asciiTheme="minorEastAsia" w:hAnsiTheme="minorEastAsia" w:eastAsiaTheme="minorEastAsia" w:cstheme="minorEastAsia"/>
                <w:color w:val="auto"/>
                <w:highlight w:val="none"/>
                <w:vertAlign w:val="baseline"/>
                <w:lang w:val="en-US" w:eastAsia="zh-CN"/>
              </w:rPr>
              <w:t>）；</w:t>
            </w:r>
          </w:p>
          <w:p w14:paraId="78E88784">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1.3：报价</w:t>
            </w:r>
            <w:r>
              <w:rPr>
                <w:rFonts w:hint="eastAsia" w:asciiTheme="minorEastAsia" w:hAnsiTheme="minorEastAsia" w:cstheme="minorEastAsia"/>
                <w:color w:val="auto"/>
                <w:highlight w:val="none"/>
                <w:vertAlign w:val="baseline"/>
                <w:lang w:val="en-US" w:eastAsia="zh-CN"/>
              </w:rPr>
              <w:t>明细表</w:t>
            </w:r>
            <w:r>
              <w:rPr>
                <w:rFonts w:hint="eastAsia" w:asciiTheme="minorEastAsia" w:hAnsiTheme="minorEastAsia" w:eastAsiaTheme="minorEastAsia" w:cstheme="minorEastAsia"/>
                <w:color w:val="auto"/>
                <w:highlight w:val="none"/>
                <w:vertAlign w:val="baseline"/>
                <w:lang w:val="en-US" w:eastAsia="zh-CN"/>
              </w:rPr>
              <w:t>（见附件</w:t>
            </w:r>
            <w:r>
              <w:rPr>
                <w:rFonts w:hint="eastAsia" w:asciiTheme="minorEastAsia" w:hAnsiTheme="minorEastAsia" w:cstheme="minorEastAsia"/>
                <w:color w:val="auto"/>
                <w:highlight w:val="none"/>
                <w:vertAlign w:val="baseline"/>
                <w:lang w:val="en-US" w:eastAsia="zh-CN"/>
              </w:rPr>
              <w:t>3</w:t>
            </w:r>
            <w:r>
              <w:rPr>
                <w:rFonts w:hint="eastAsia" w:asciiTheme="minorEastAsia" w:hAnsiTheme="minorEastAsia" w:eastAsiaTheme="minorEastAsia" w:cstheme="minorEastAsia"/>
                <w:color w:val="auto"/>
                <w:highlight w:val="none"/>
                <w:vertAlign w:val="baseline"/>
                <w:lang w:val="en-US" w:eastAsia="zh-CN"/>
              </w:rPr>
              <w:t>）；</w:t>
            </w:r>
          </w:p>
          <w:p w14:paraId="47D1F2DE">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1.4：廉政承诺书（见附件</w:t>
            </w:r>
            <w:r>
              <w:rPr>
                <w:rFonts w:hint="eastAsia" w:asciiTheme="minorEastAsia" w:hAnsiTheme="minorEastAsia" w:cstheme="minorEastAsia"/>
                <w:color w:val="auto"/>
                <w:highlight w:val="none"/>
                <w:vertAlign w:val="baseline"/>
                <w:lang w:val="en-US" w:eastAsia="zh-CN"/>
              </w:rPr>
              <w:t>4</w:t>
            </w:r>
            <w:r>
              <w:rPr>
                <w:rFonts w:hint="eastAsia" w:asciiTheme="minorEastAsia" w:hAnsiTheme="minorEastAsia" w:eastAsiaTheme="minorEastAsia" w:cstheme="minorEastAsia"/>
                <w:color w:val="auto"/>
                <w:highlight w:val="none"/>
                <w:vertAlign w:val="baseline"/>
                <w:lang w:val="en-US" w:eastAsia="zh-CN"/>
              </w:rPr>
              <w:t>）；</w:t>
            </w:r>
          </w:p>
          <w:p w14:paraId="36732B3C">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1.5：营业执照及相关资质文件副本；</w:t>
            </w:r>
          </w:p>
          <w:p w14:paraId="0A266C1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1.6：无严重失信行为的相关企业信息及相关网站截图，“信用中国”国家企业信息信用公示系统查询报告；</w:t>
            </w:r>
          </w:p>
          <w:p w14:paraId="02D1E16D">
            <w:pPr>
              <w:jc w:val="both"/>
              <w:rPr>
                <w:rFonts w:hint="default"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以上材料均需盖公章。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EF2CB" w:themeFill="accent3" w:themeFillTint="32"/>
            <w:vAlign w:val="center"/>
          </w:tcPr>
          <w:p w14:paraId="2FC78C3D">
            <w:pPr>
              <w:jc w:val="center"/>
              <w:rPr>
                <w:rFonts w:hint="default"/>
                <w:color w:val="auto"/>
                <w:highlight w:val="none"/>
                <w:vertAlign w:val="baseline"/>
                <w:lang w:val="en-US" w:eastAsia="zh-CN"/>
              </w:rPr>
            </w:pPr>
            <w:r>
              <w:rPr>
                <w:rFonts w:hint="eastAsia"/>
                <w:color w:val="auto"/>
                <w:highlight w:val="none"/>
                <w:vertAlign w:val="baseline"/>
                <w:lang w:val="en-US" w:eastAsia="zh-CN"/>
              </w:rPr>
              <w:t>2、其他组成要求</w:t>
            </w:r>
          </w:p>
        </w:tc>
        <w:tc>
          <w:tcPr>
            <w:tcW w:w="7103" w:type="dxa"/>
            <w:shd w:val="clear" w:color="auto" w:fill="FEF2CB" w:themeFill="accent3" w:themeFillTint="32"/>
          </w:tcPr>
          <w:p w14:paraId="0878C0D1">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2</w:t>
            </w:r>
            <w:r>
              <w:rPr>
                <w:rFonts w:hint="eastAsia" w:asciiTheme="minorEastAsia" w:hAnsiTheme="minorEastAsia" w:eastAsiaTheme="minorEastAsia" w:cstheme="minorEastAsia"/>
                <w:color w:val="auto"/>
                <w:highlight w:val="none"/>
                <w:vertAlign w:val="baseline"/>
                <w:lang w:val="en-US" w:eastAsia="zh-CN"/>
              </w:rPr>
              <w:t>.1：</w:t>
            </w:r>
            <w:r>
              <w:rPr>
                <w:rFonts w:hint="eastAsia" w:asciiTheme="minorEastAsia" w:hAnsiTheme="minorEastAsia" w:cstheme="minorEastAsia"/>
                <w:color w:val="auto"/>
                <w:highlight w:val="none"/>
                <w:vertAlign w:val="baseline"/>
                <w:lang w:val="en-US" w:eastAsia="zh-CN"/>
              </w:rPr>
              <w:t>服务方案、业绩、人员投入证明资料</w:t>
            </w:r>
            <w:r>
              <w:rPr>
                <w:rFonts w:hint="eastAsia" w:asciiTheme="minorEastAsia" w:hAnsiTheme="minorEastAsia" w:eastAsiaTheme="minorEastAsia" w:cstheme="minorEastAsia"/>
                <w:color w:val="auto"/>
                <w:highlight w:val="none"/>
                <w:vertAlign w:val="baseline"/>
                <w:lang w:val="en-US" w:eastAsia="zh-CN"/>
              </w:rPr>
              <w:t>；</w:t>
            </w:r>
          </w:p>
          <w:p w14:paraId="5262390E">
            <w:pPr>
              <w:jc w:val="both"/>
              <w:rPr>
                <w:rFonts w:hint="default"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2.2：开户许可证或银行基本存款信息证明复印件；</w:t>
            </w:r>
          </w:p>
          <w:p w14:paraId="65D48EA0">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2</w:t>
            </w:r>
            <w:r>
              <w:rPr>
                <w:rFonts w:hint="eastAsia" w:asciiTheme="minorEastAsia" w:hAnsiTheme="minorEastAsia" w:eastAsiaTheme="minorEastAsia" w:cstheme="minorEastAsia"/>
                <w:color w:val="auto"/>
                <w:highlight w:val="none"/>
                <w:vertAlign w:val="baseline"/>
                <w:lang w:val="en-US" w:eastAsia="zh-CN"/>
              </w:rPr>
              <w:t>.</w:t>
            </w:r>
            <w:r>
              <w:rPr>
                <w:rFonts w:hint="eastAsia" w:asciiTheme="minorEastAsia" w:hAnsiTheme="minorEastAsia" w:cstheme="minorEastAsia"/>
                <w:color w:val="auto"/>
                <w:highlight w:val="none"/>
                <w:vertAlign w:val="baseline"/>
                <w:lang w:val="en-US" w:eastAsia="zh-CN"/>
              </w:rPr>
              <w:t>3</w:t>
            </w:r>
            <w:r>
              <w:rPr>
                <w:rFonts w:hint="eastAsia" w:asciiTheme="minorEastAsia" w:hAnsiTheme="minorEastAsia" w:eastAsiaTheme="minorEastAsia" w:cstheme="minorEastAsia"/>
                <w:color w:val="auto"/>
                <w:highlight w:val="none"/>
                <w:vertAlign w:val="baseline"/>
                <w:lang w:val="en-US" w:eastAsia="zh-CN"/>
              </w:rPr>
              <w:t>：</w:t>
            </w:r>
            <w:r>
              <w:rPr>
                <w:rFonts w:hint="eastAsia" w:asciiTheme="minorEastAsia" w:hAnsiTheme="minorEastAsia" w:cstheme="minorEastAsia"/>
                <w:color w:val="auto"/>
                <w:highlight w:val="none"/>
                <w:vertAlign w:val="baseline"/>
                <w:lang w:val="en-US" w:eastAsia="zh-CN"/>
              </w:rPr>
              <w:t>中国合格评定国家认可机关颁发的资质证书复印件。</w:t>
            </w:r>
          </w:p>
          <w:p w14:paraId="7BD18C27">
            <w:pPr>
              <w:jc w:val="both"/>
              <w:rPr>
                <w:rFonts w:hint="default"/>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以上材料均需盖公章。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7103" w:type="dxa"/>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1384B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18F74783">
            <w:pPr>
              <w:jc w:val="both"/>
              <w:rPr>
                <w:rFonts w:hint="eastAsia"/>
                <w:color w:val="auto"/>
                <w:highlight w:val="none"/>
                <w:vertAlign w:val="baseline"/>
                <w:lang w:val="en-US" w:eastAsia="zh-CN"/>
              </w:rPr>
            </w:pPr>
            <w:r>
              <w:rPr>
                <w:rFonts w:hint="eastAsia"/>
                <w:color w:val="auto"/>
                <w:highlight w:val="none"/>
                <w:vertAlign w:val="baseline"/>
                <w:lang w:val="en-US" w:eastAsia="zh-CN"/>
              </w:rPr>
              <w:t>十一、报价人需认真阅读询价文件中所有事项、格式、条款和规范等要求。没有按照要求提交全部资料，或者报价未对询价文件各方面都做出实质性响应，报价将被否决。</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3252EE67">
            <w:pPr>
              <w:jc w:val="both"/>
              <w:rPr>
                <w:rFonts w:hint="default"/>
                <w:color w:val="auto"/>
                <w:highlight w:val="none"/>
                <w:vertAlign w:val="baseline"/>
                <w:lang w:val="en-US" w:eastAsia="zh-CN"/>
              </w:rPr>
            </w:pPr>
            <w:r>
              <w:rPr>
                <w:rFonts w:hint="eastAsia"/>
                <w:color w:val="auto"/>
                <w:highlight w:val="none"/>
                <w:vertAlign w:val="baseline"/>
                <w:lang w:val="en-US" w:eastAsia="zh-CN"/>
              </w:rPr>
              <w:t>十二、联系人：王玥          联系电话：022-85454771</w:t>
            </w:r>
          </w:p>
        </w:tc>
      </w:tr>
    </w:tbl>
    <w:p w14:paraId="7F6FBDCE">
      <w:pPr>
        <w:jc w:val="both"/>
        <w:rPr>
          <w:rFonts w:hint="eastAsia" w:asciiTheme="minorEastAsia" w:hAnsiTheme="minorEastAsia" w:cstheme="minorEastAsia"/>
          <w:color w:val="FF0000"/>
          <w:lang w:val="en-US" w:eastAsia="zh-CN"/>
        </w:rPr>
      </w:pPr>
    </w:p>
    <w:p w14:paraId="3892212F">
      <w:pPr>
        <w:ind w:firstLine="5250" w:firstLineChars="2500"/>
        <w:jc w:val="both"/>
        <w:rPr>
          <w:rFonts w:hint="eastAsia" w:asciiTheme="minorEastAsia" w:hAnsiTheme="minorEastAsia" w:cstheme="minorEastAsia"/>
          <w:color w:val="auto"/>
          <w:lang w:val="en-US" w:eastAsia="zh-CN"/>
        </w:rPr>
      </w:pPr>
      <w:r>
        <w:rPr>
          <w:rFonts w:hint="eastAsia" w:asciiTheme="minorEastAsia" w:hAnsiTheme="minorEastAsia" w:cstheme="minorEastAsia"/>
          <w:color w:val="auto"/>
          <w:lang w:val="en-US" w:eastAsia="zh-CN"/>
        </w:rPr>
        <w:t>天津市管道工程集团有限公司</w:t>
      </w:r>
    </w:p>
    <w:p w14:paraId="44CFDE5B">
      <w:pPr>
        <w:ind w:firstLine="5880" w:firstLineChars="2800"/>
        <w:jc w:val="both"/>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年</w:t>
      </w:r>
      <w:r>
        <w:rPr>
          <w:rFonts w:hint="eastAsia" w:asciiTheme="minorEastAsia" w:hAnsiTheme="minorEastAsia" w:cstheme="minorEastAsia"/>
          <w:color w:val="auto"/>
          <w:lang w:val="en-US" w:eastAsia="zh-CN"/>
        </w:rPr>
        <w:t>6</w:t>
      </w:r>
      <w:r>
        <w:rPr>
          <w:rFonts w:hint="eastAsia" w:asciiTheme="minorEastAsia" w:hAnsiTheme="minorEastAsia" w:eastAsiaTheme="minorEastAsia" w:cstheme="minorEastAsia"/>
          <w:color w:val="auto"/>
          <w:lang w:val="en-US" w:eastAsia="zh-CN"/>
        </w:rPr>
        <w:t>月</w:t>
      </w:r>
      <w:r>
        <w:rPr>
          <w:rFonts w:hint="eastAsia" w:asciiTheme="minorEastAsia" w:hAnsiTheme="minorEastAsia" w:cstheme="minorEastAsia"/>
          <w:color w:val="auto"/>
          <w:lang w:val="en-US" w:eastAsia="zh-CN"/>
        </w:rPr>
        <w:t>6</w:t>
      </w:r>
      <w:r>
        <w:rPr>
          <w:rFonts w:hint="eastAsia" w:asciiTheme="minorEastAsia" w:hAnsiTheme="minorEastAsia" w:eastAsiaTheme="minorEastAsia" w:cstheme="minorEastAsia"/>
          <w:color w:val="auto"/>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2CFAD182">
      <w:pPr>
        <w:ind w:firstLine="6930" w:firstLineChars="3300"/>
        <w:jc w:val="both"/>
        <w:rPr>
          <w:rFonts w:hint="eastAsia" w:asciiTheme="minorEastAsia" w:hAnsiTheme="minorEastAsia" w:eastAsiaTheme="minorEastAsia" w:cstheme="minorEastAsia"/>
          <w:lang w:val="en-US" w:eastAsia="zh-CN"/>
        </w:rPr>
      </w:pPr>
    </w:p>
    <w:p w14:paraId="1763CE5A">
      <w:pPr>
        <w:ind w:firstLine="6930" w:firstLineChars="3300"/>
        <w:jc w:val="both"/>
        <w:rPr>
          <w:rFonts w:hint="eastAsia" w:asciiTheme="minorEastAsia" w:hAnsiTheme="minorEastAsia" w:eastAsiaTheme="minorEastAsia" w:cstheme="minorEastAsia"/>
          <w:lang w:val="en-US" w:eastAsia="zh-CN"/>
        </w:rPr>
      </w:pPr>
    </w:p>
    <w:p w14:paraId="69E8FBBA">
      <w:pPr>
        <w:ind w:firstLine="6930" w:firstLineChars="3300"/>
        <w:jc w:val="both"/>
        <w:rPr>
          <w:rFonts w:hint="eastAsia" w:asciiTheme="minorEastAsia" w:hAnsiTheme="minorEastAsia" w:eastAsiaTheme="minorEastAsia" w:cstheme="minorEastAsia"/>
          <w:lang w:val="en-US" w:eastAsia="zh-CN"/>
        </w:rPr>
      </w:pPr>
    </w:p>
    <w:p w14:paraId="641C6820">
      <w:pPr>
        <w:ind w:firstLine="6930" w:firstLineChars="3300"/>
        <w:jc w:val="both"/>
        <w:rPr>
          <w:rFonts w:hint="eastAsia" w:asciiTheme="minorEastAsia" w:hAnsiTheme="minorEastAsia" w:eastAsiaTheme="minorEastAsia" w:cstheme="minorEastAsia"/>
          <w:lang w:val="en-US" w:eastAsia="zh-CN"/>
        </w:rPr>
      </w:pPr>
    </w:p>
    <w:p w14:paraId="2CE68774">
      <w:pPr>
        <w:ind w:firstLine="6930" w:firstLineChars="3300"/>
        <w:jc w:val="both"/>
        <w:rPr>
          <w:rFonts w:hint="eastAsia" w:asciiTheme="minorEastAsia" w:hAnsiTheme="minorEastAsia" w:eastAsiaTheme="minorEastAsia" w:cstheme="minorEastAsia"/>
          <w:lang w:val="en-US" w:eastAsia="zh-CN"/>
        </w:rPr>
      </w:pPr>
    </w:p>
    <w:p w14:paraId="00E1FDCC">
      <w:pPr>
        <w:spacing w:line="360" w:lineRule="auto"/>
        <w:jc w:val="left"/>
        <w:rPr>
          <w:rFonts w:hint="eastAsia" w:ascii="宋体" w:hAnsi="宋体"/>
          <w:sz w:val="28"/>
          <w:szCs w:val="24"/>
          <w:lang w:eastAsia="zh-CN"/>
        </w:rPr>
      </w:pPr>
    </w:p>
    <w:p w14:paraId="3A81E109">
      <w:pPr>
        <w:spacing w:line="360" w:lineRule="auto"/>
        <w:jc w:val="left"/>
        <w:rPr>
          <w:rFonts w:hint="eastAsia" w:ascii="宋体" w:hAnsi="宋体"/>
          <w:sz w:val="28"/>
          <w:szCs w:val="24"/>
          <w:lang w:eastAsia="zh-CN"/>
        </w:rPr>
      </w:pPr>
    </w:p>
    <w:p w14:paraId="00E92C8A">
      <w:pPr>
        <w:spacing w:line="360" w:lineRule="auto"/>
        <w:jc w:val="left"/>
        <w:rPr>
          <w:rFonts w:hint="eastAsia" w:ascii="宋体" w:hAnsi="宋体"/>
          <w:sz w:val="28"/>
          <w:szCs w:val="24"/>
          <w:lang w:eastAsia="zh-CN"/>
        </w:rPr>
      </w:pPr>
    </w:p>
    <w:p w14:paraId="7701B3BF">
      <w:pPr>
        <w:spacing w:line="360" w:lineRule="auto"/>
        <w:jc w:val="left"/>
        <w:rPr>
          <w:rFonts w:hint="eastAsia" w:ascii="宋体" w:hAnsi="宋体"/>
          <w:sz w:val="28"/>
          <w:szCs w:val="24"/>
          <w:lang w:eastAsia="zh-CN"/>
        </w:rPr>
      </w:pPr>
    </w:p>
    <w:p w14:paraId="32D4B590">
      <w:pPr>
        <w:spacing w:line="360" w:lineRule="auto"/>
        <w:jc w:val="left"/>
        <w:rPr>
          <w:rFonts w:hint="eastAsia" w:ascii="宋体" w:hAnsi="宋体"/>
          <w:sz w:val="28"/>
          <w:szCs w:val="24"/>
          <w:lang w:eastAsia="zh-CN"/>
        </w:rPr>
      </w:pPr>
    </w:p>
    <w:p w14:paraId="79402D80">
      <w:pPr>
        <w:spacing w:line="360" w:lineRule="auto"/>
        <w:jc w:val="left"/>
        <w:rPr>
          <w:rFonts w:hint="eastAsia" w:ascii="宋体" w:hAnsi="宋体"/>
          <w:sz w:val="28"/>
          <w:szCs w:val="24"/>
          <w:lang w:eastAsia="zh-CN"/>
        </w:rPr>
      </w:pPr>
    </w:p>
    <w:p w14:paraId="2438DEF8">
      <w:pPr>
        <w:spacing w:line="360" w:lineRule="auto"/>
        <w:jc w:val="left"/>
        <w:rPr>
          <w:rFonts w:hint="eastAsia" w:ascii="宋体" w:hAnsi="宋体"/>
          <w:sz w:val="28"/>
          <w:szCs w:val="24"/>
          <w:lang w:eastAsia="zh-CN"/>
        </w:rPr>
      </w:pPr>
    </w:p>
    <w:p w14:paraId="6B7CD177">
      <w:pPr>
        <w:spacing w:line="360" w:lineRule="auto"/>
        <w:jc w:val="left"/>
        <w:rPr>
          <w:rFonts w:hint="eastAsia" w:ascii="宋体" w:hAnsi="宋体"/>
          <w:sz w:val="28"/>
          <w:szCs w:val="24"/>
          <w:lang w:eastAsia="zh-CN"/>
        </w:rPr>
      </w:pPr>
    </w:p>
    <w:p w14:paraId="16119341">
      <w:pPr>
        <w:spacing w:line="360" w:lineRule="auto"/>
        <w:jc w:val="left"/>
        <w:rPr>
          <w:rFonts w:hint="eastAsia" w:ascii="宋体" w:hAnsi="宋体"/>
          <w:sz w:val="28"/>
          <w:szCs w:val="24"/>
          <w:lang w:eastAsia="zh-CN"/>
        </w:rPr>
      </w:pPr>
    </w:p>
    <w:p w14:paraId="04035994">
      <w:pPr>
        <w:spacing w:line="360" w:lineRule="auto"/>
        <w:jc w:val="left"/>
        <w:rPr>
          <w:rFonts w:hint="eastAsia" w:ascii="宋体" w:hAnsi="宋体"/>
          <w:sz w:val="28"/>
          <w:szCs w:val="24"/>
          <w:lang w:eastAsia="zh-CN"/>
        </w:rPr>
      </w:pPr>
    </w:p>
    <w:p w14:paraId="5D5AB065">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40836471">
      <w:pPr>
        <w:spacing w:line="560" w:lineRule="exact"/>
        <w:jc w:val="center"/>
        <w:rPr>
          <w:rFonts w:hint="eastAsia" w:ascii="仿宋_GB2312" w:hAnsi="仿宋_GB2312" w:eastAsia="仿宋_GB2312" w:cs="仿宋_GB2312"/>
          <w:sz w:val="32"/>
          <w:szCs w:val="32"/>
        </w:rPr>
      </w:pP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5515BB7E">
      <w:pPr>
        <w:spacing w:line="360" w:lineRule="auto"/>
        <w:jc w:val="left"/>
        <w:rPr>
          <w:rFonts w:hint="eastAsia" w:ascii="宋体" w:hAnsi="宋体"/>
          <w:sz w:val="28"/>
          <w:szCs w:val="24"/>
          <w:lang w:eastAsia="zh-CN"/>
        </w:rPr>
      </w:pPr>
    </w:p>
    <w:p w14:paraId="25082EF2">
      <w:pPr>
        <w:spacing w:line="360" w:lineRule="auto"/>
        <w:jc w:val="left"/>
        <w:rPr>
          <w:rFonts w:hint="eastAsia" w:ascii="宋体" w:hAnsi="宋体"/>
          <w:sz w:val="28"/>
          <w:szCs w:val="24"/>
          <w:lang w:eastAsia="zh-CN"/>
        </w:rPr>
      </w:pPr>
    </w:p>
    <w:p w14:paraId="37E17734">
      <w:pPr>
        <w:spacing w:line="360" w:lineRule="auto"/>
        <w:jc w:val="left"/>
        <w:rPr>
          <w:rFonts w:hint="eastAsia" w:ascii="宋体" w:hAnsi="宋体"/>
          <w:sz w:val="28"/>
          <w:szCs w:val="24"/>
          <w:lang w:eastAsia="zh-CN"/>
        </w:rPr>
      </w:pPr>
    </w:p>
    <w:p w14:paraId="58448541">
      <w:pPr>
        <w:spacing w:line="360" w:lineRule="auto"/>
        <w:jc w:val="left"/>
        <w:rPr>
          <w:rFonts w:hint="eastAsia" w:ascii="宋体" w:hAnsi="宋体"/>
          <w:sz w:val="28"/>
          <w:szCs w:val="24"/>
          <w:lang w:eastAsia="zh-CN"/>
        </w:rPr>
      </w:pPr>
    </w:p>
    <w:p w14:paraId="0F7DF582">
      <w:pPr>
        <w:spacing w:line="360" w:lineRule="auto"/>
        <w:jc w:val="left"/>
        <w:rPr>
          <w:rFonts w:hint="eastAsia" w:ascii="宋体" w:hAnsi="宋体"/>
          <w:sz w:val="28"/>
          <w:szCs w:val="24"/>
          <w:lang w:eastAsia="zh-CN"/>
        </w:rPr>
      </w:pPr>
    </w:p>
    <w:p w14:paraId="769B0EA7">
      <w:pPr>
        <w:spacing w:line="360" w:lineRule="auto"/>
        <w:jc w:val="left"/>
        <w:rPr>
          <w:rFonts w:hint="eastAsia" w:ascii="宋体" w:hAnsi="宋体"/>
          <w:sz w:val="28"/>
          <w:szCs w:val="24"/>
          <w:lang w:eastAsia="zh-CN"/>
        </w:rPr>
      </w:pPr>
    </w:p>
    <w:p w14:paraId="2F82B5F5">
      <w:pPr>
        <w:spacing w:line="360" w:lineRule="auto"/>
        <w:jc w:val="left"/>
        <w:rPr>
          <w:rFonts w:hint="eastAsia" w:ascii="宋体" w:hAnsi="宋体"/>
          <w:sz w:val="28"/>
          <w:szCs w:val="24"/>
          <w:lang w:eastAsia="zh-CN"/>
        </w:rPr>
      </w:pPr>
    </w:p>
    <w:p w14:paraId="558F1EEA">
      <w:pPr>
        <w:spacing w:line="360" w:lineRule="auto"/>
        <w:jc w:val="left"/>
        <w:rPr>
          <w:rFonts w:hint="eastAsia" w:ascii="宋体" w:hAnsi="宋体"/>
          <w:sz w:val="28"/>
          <w:szCs w:val="24"/>
          <w:lang w:eastAsia="zh-CN"/>
        </w:rPr>
      </w:pPr>
    </w:p>
    <w:p w14:paraId="1161C69C">
      <w:pPr>
        <w:spacing w:line="360" w:lineRule="auto"/>
        <w:jc w:val="left"/>
        <w:rPr>
          <w:rFonts w:hint="eastAsia" w:ascii="宋体" w:hAnsi="宋体"/>
          <w:sz w:val="28"/>
          <w:szCs w:val="24"/>
          <w:lang w:eastAsia="zh-CN"/>
        </w:rPr>
      </w:pPr>
    </w:p>
    <w:p w14:paraId="0202B9CF">
      <w:pPr>
        <w:spacing w:line="360" w:lineRule="auto"/>
        <w:jc w:val="left"/>
        <w:rPr>
          <w:rFonts w:hint="eastAsia" w:ascii="宋体" w:hAnsi="宋体"/>
          <w:sz w:val="28"/>
          <w:szCs w:val="24"/>
          <w:lang w:eastAsia="zh-CN"/>
        </w:rPr>
      </w:pPr>
    </w:p>
    <w:p w14:paraId="79C8B644">
      <w:pPr>
        <w:spacing w:line="360" w:lineRule="auto"/>
        <w:jc w:val="left"/>
        <w:rPr>
          <w:rFonts w:hint="eastAsia" w:ascii="宋体" w:hAnsi="宋体"/>
          <w:sz w:val="28"/>
          <w:szCs w:val="24"/>
          <w:lang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29FAEE74">
      <w:pPr>
        <w:spacing w:line="360" w:lineRule="auto"/>
        <w:jc w:val="both"/>
        <w:rPr>
          <w:rFonts w:ascii="宋体"/>
          <w:b/>
          <w:bCs/>
        </w:rPr>
      </w:pP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ascii="宋体" w:hAnsi="宋体"/>
          <w:szCs w:val="21"/>
          <w:u w:val="single"/>
        </w:rPr>
      </w:pPr>
      <w:r>
        <w:rPr>
          <w:rFonts w:hint="eastAsia" w:ascii="宋体" w:hAnsi="宋体" w:cs="宋体"/>
          <w:szCs w:val="21"/>
        </w:rPr>
        <w:t>致：</w:t>
      </w:r>
      <w:r>
        <w:rPr>
          <w:rFonts w:hint="eastAsia" w:ascii="宋体" w:hAnsi="宋体"/>
          <w:szCs w:val="21"/>
          <w:u w:val="single"/>
        </w:rPr>
        <w:t>天津市管道工程集团有限公司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b/>
          <w:szCs w:val="21"/>
          <w:u w:val="single"/>
          <w:lang w:val="en-US" w:eastAsia="zh-CN"/>
        </w:rPr>
        <w:t xml:space="preserve">          （项目名称）      </w:t>
      </w:r>
      <w:r>
        <w:rPr>
          <w:rFonts w:hint="eastAsia" w:ascii="宋体" w:hAnsi="宋体"/>
          <w:b/>
          <w:szCs w:val="21"/>
          <w:u w:val="single"/>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00D4CA93">
      <w:pPr>
        <w:spacing w:line="360" w:lineRule="auto"/>
        <w:jc w:val="left"/>
        <w:rPr>
          <w:rFonts w:ascii="宋体" w:hAnsi="宋体"/>
          <w:szCs w:val="21"/>
        </w:rPr>
      </w:pPr>
      <w:r>
        <w:rPr>
          <w:rFonts w:hint="eastAsia" w:ascii="宋体" w:hAnsi="宋体"/>
          <w:szCs w:val="21"/>
        </w:rPr>
        <w:t>附被授权人身份证正反面照片</w:t>
      </w:r>
    </w:p>
    <w:p w14:paraId="560972BC">
      <w:pPr>
        <w:spacing w:line="360" w:lineRule="auto"/>
        <w:jc w:val="left"/>
        <w:rPr>
          <w:rFonts w:hint="eastAsia" w:ascii="宋体" w:hAnsi="宋体"/>
          <w:sz w:val="28"/>
          <w:szCs w:val="24"/>
        </w:rPr>
      </w:pPr>
    </w:p>
    <w:p w14:paraId="15A88B00">
      <w:pPr>
        <w:spacing w:line="360" w:lineRule="auto"/>
        <w:jc w:val="left"/>
        <w:rPr>
          <w:rFonts w:hint="eastAsia" w:ascii="宋体" w:hAnsi="宋体"/>
          <w:sz w:val="28"/>
          <w:szCs w:val="24"/>
        </w:rPr>
      </w:pPr>
    </w:p>
    <w:p w14:paraId="5A63C148">
      <w:pPr>
        <w:spacing w:line="360" w:lineRule="auto"/>
        <w:jc w:val="left"/>
        <w:rPr>
          <w:rFonts w:hint="eastAsia" w:ascii="宋体" w:hAnsi="宋体"/>
          <w:sz w:val="28"/>
          <w:szCs w:val="24"/>
        </w:rPr>
      </w:pPr>
    </w:p>
    <w:p w14:paraId="4CB6D6D2">
      <w:pPr>
        <w:spacing w:line="360" w:lineRule="auto"/>
        <w:jc w:val="left"/>
        <w:rPr>
          <w:rFonts w:hint="eastAsia" w:ascii="宋体" w:hAnsi="宋体"/>
          <w:szCs w:val="21"/>
        </w:rPr>
      </w:pPr>
    </w:p>
    <w:p w14:paraId="19B7030D">
      <w:pPr>
        <w:spacing w:line="360" w:lineRule="auto"/>
        <w:jc w:val="left"/>
        <w:rPr>
          <w:rFonts w:hint="eastAsia" w:ascii="宋体" w:hAnsi="宋体"/>
          <w:szCs w:val="21"/>
        </w:rPr>
      </w:pPr>
    </w:p>
    <w:p w14:paraId="3FAF3542">
      <w:pPr>
        <w:spacing w:line="360" w:lineRule="auto"/>
        <w:jc w:val="left"/>
        <w:rPr>
          <w:rFonts w:hint="eastAsia" w:ascii="宋体" w:hAnsi="宋体"/>
          <w:szCs w:val="21"/>
        </w:rPr>
      </w:pPr>
    </w:p>
    <w:p w14:paraId="62B5D2BD">
      <w:pPr>
        <w:spacing w:line="360" w:lineRule="auto"/>
        <w:jc w:val="left"/>
        <w:rPr>
          <w:rFonts w:hint="eastAsia" w:ascii="宋体" w:hAnsi="宋体"/>
          <w:szCs w:val="21"/>
        </w:rPr>
      </w:pPr>
    </w:p>
    <w:p w14:paraId="22820874">
      <w:pPr>
        <w:spacing w:line="360" w:lineRule="auto"/>
        <w:jc w:val="left"/>
        <w:rPr>
          <w:rFonts w:hint="eastAsia" w:ascii="宋体" w:hAnsi="宋体"/>
          <w:szCs w:val="21"/>
        </w:rPr>
      </w:pPr>
    </w:p>
    <w:p w14:paraId="3A9528F3">
      <w:pPr>
        <w:spacing w:line="360" w:lineRule="auto"/>
        <w:jc w:val="both"/>
        <w:rPr>
          <w:rFonts w:hint="eastAsia" w:ascii="宋体" w:hAnsi="宋体"/>
          <w:sz w:val="28"/>
          <w:szCs w:val="24"/>
          <w:lang w:eastAsia="zh-CN"/>
        </w:rPr>
      </w:pPr>
    </w:p>
    <w:p w14:paraId="7054343C">
      <w:pPr>
        <w:spacing w:line="360" w:lineRule="auto"/>
        <w:jc w:val="both"/>
        <w:rPr>
          <w:rFonts w:hint="eastAsia" w:ascii="宋体" w:hAnsi="宋体"/>
          <w:sz w:val="28"/>
          <w:szCs w:val="24"/>
          <w:lang w:eastAsia="zh-CN"/>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4E7E827E">
      <w:pPr>
        <w:jc w:val="center"/>
        <w:rPr>
          <w:rFonts w:hint="eastAsia" w:ascii="仿宋_GB2312" w:eastAsia="仿宋_GB2312"/>
          <w:b/>
          <w:bCs/>
          <w:sz w:val="32"/>
          <w:szCs w:val="32"/>
        </w:rPr>
      </w:pPr>
      <w:r>
        <w:rPr>
          <w:rFonts w:hint="eastAsia" w:ascii="仿宋_GB2312" w:eastAsia="仿宋_GB2312"/>
          <w:b/>
          <w:bCs/>
          <w:sz w:val="32"/>
          <w:szCs w:val="32"/>
        </w:rPr>
        <w:t>投标报价清单</w:t>
      </w:r>
    </w:p>
    <w:tbl>
      <w:tblPr>
        <w:tblStyle w:val="6"/>
        <w:tblW w:w="9493" w:type="dxa"/>
        <w:jc w:val="center"/>
        <w:tblLayout w:type="autofit"/>
        <w:tblCellMar>
          <w:top w:w="0" w:type="dxa"/>
          <w:left w:w="108" w:type="dxa"/>
          <w:bottom w:w="0" w:type="dxa"/>
          <w:right w:w="108" w:type="dxa"/>
        </w:tblCellMar>
      </w:tblPr>
      <w:tblGrid>
        <w:gridCol w:w="2370"/>
        <w:gridCol w:w="2925"/>
        <w:gridCol w:w="1440"/>
        <w:gridCol w:w="1395"/>
        <w:gridCol w:w="1363"/>
      </w:tblGrid>
      <w:tr w14:paraId="2E167E72">
        <w:tblPrEx>
          <w:tblCellMar>
            <w:top w:w="0" w:type="dxa"/>
            <w:left w:w="108" w:type="dxa"/>
            <w:bottom w:w="0" w:type="dxa"/>
            <w:right w:w="108" w:type="dxa"/>
          </w:tblCellMar>
        </w:tblPrEx>
        <w:trPr>
          <w:trHeight w:val="858" w:hRule="atLeast"/>
          <w:jc w:val="center"/>
        </w:trPr>
        <w:tc>
          <w:tcPr>
            <w:tcW w:w="9493" w:type="dxa"/>
            <w:gridSpan w:val="5"/>
            <w:tcBorders>
              <w:top w:val="single" w:color="000000" w:sz="8" w:space="0"/>
              <w:left w:val="single" w:color="000000" w:sz="8" w:space="0"/>
              <w:bottom w:val="single" w:color="000000" w:sz="8" w:space="0"/>
              <w:right w:val="single" w:color="000000" w:sz="8" w:space="0"/>
            </w:tcBorders>
            <w:noWrap/>
            <w:vAlign w:val="center"/>
          </w:tcPr>
          <w:p w14:paraId="0B8EEE31">
            <w:pPr>
              <w:widowControl/>
              <w:snapToGrid w:val="0"/>
              <w:textAlignment w:val="bottom"/>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报价单位</w:t>
            </w:r>
            <w:r>
              <w:rPr>
                <w:rFonts w:hint="eastAsia" w:ascii="仿宋_GB2312" w:hAnsi="宋体" w:eastAsia="仿宋_GB2312" w:cs="仿宋_GB2312"/>
                <w:color w:val="000000"/>
                <w:sz w:val="28"/>
                <w:szCs w:val="28"/>
                <w:lang w:eastAsia="zh-CN"/>
              </w:rPr>
              <w:t>（盖章）</w:t>
            </w:r>
            <w:r>
              <w:rPr>
                <w:rFonts w:hint="eastAsia" w:ascii="仿宋_GB2312" w:hAnsi="宋体" w:eastAsia="仿宋_GB2312" w:cs="仿宋_GB2312"/>
                <w:color w:val="000000"/>
                <w:sz w:val="28"/>
                <w:szCs w:val="28"/>
              </w:rPr>
              <w:t xml:space="preserve">：           </w:t>
            </w:r>
          </w:p>
        </w:tc>
      </w:tr>
      <w:tr w14:paraId="5B22798E">
        <w:tblPrEx>
          <w:tblCellMar>
            <w:top w:w="0" w:type="dxa"/>
            <w:left w:w="108" w:type="dxa"/>
            <w:bottom w:w="0" w:type="dxa"/>
            <w:right w:w="108" w:type="dxa"/>
          </w:tblCellMar>
        </w:tblPrEx>
        <w:trPr>
          <w:trHeight w:val="720" w:hRule="atLeast"/>
          <w:jc w:val="center"/>
        </w:trPr>
        <w:tc>
          <w:tcPr>
            <w:tcW w:w="2370" w:type="dxa"/>
            <w:tcBorders>
              <w:top w:val="nil"/>
              <w:left w:val="single" w:color="000000" w:sz="8" w:space="0"/>
              <w:bottom w:val="nil"/>
              <w:right w:val="single" w:color="000000" w:sz="8" w:space="0"/>
            </w:tcBorders>
            <w:vAlign w:val="center"/>
          </w:tcPr>
          <w:p w14:paraId="544C3FD0">
            <w:pPr>
              <w:widowControl/>
              <w:snapToGrid w:val="0"/>
              <w:jc w:val="center"/>
              <w:textAlignment w:val="bottom"/>
              <w:rPr>
                <w:rFonts w:ascii="仿宋_GB2312" w:hAnsi="宋体" w:eastAsia="仿宋_GB2312" w:cs="仿宋_GB2312"/>
                <w:color w:val="000000"/>
                <w:sz w:val="28"/>
                <w:szCs w:val="28"/>
              </w:rPr>
            </w:pPr>
            <w:r>
              <w:rPr>
                <w:rFonts w:ascii="仿宋_GB2312" w:hAnsi="宋体" w:eastAsia="仿宋_GB2312" w:cs="仿宋_GB2312"/>
                <w:color w:val="000000"/>
                <w:sz w:val="28"/>
                <w:szCs w:val="28"/>
              </w:rPr>
              <w:t>服务项目</w:t>
            </w:r>
          </w:p>
        </w:tc>
        <w:tc>
          <w:tcPr>
            <w:tcW w:w="2925" w:type="dxa"/>
            <w:tcBorders>
              <w:top w:val="single" w:color="000000" w:sz="8" w:space="0"/>
              <w:left w:val="nil"/>
              <w:bottom w:val="nil"/>
              <w:right w:val="single" w:color="000000" w:sz="8" w:space="0"/>
            </w:tcBorders>
            <w:vAlign w:val="center"/>
          </w:tcPr>
          <w:p w14:paraId="247852EC">
            <w:pPr>
              <w:widowControl/>
              <w:snapToGrid w:val="0"/>
              <w:jc w:val="center"/>
              <w:textAlignment w:val="bottom"/>
              <w:rPr>
                <w:rFonts w:ascii="仿宋_GB2312" w:hAnsi="宋体" w:eastAsia="仿宋_GB2312" w:cs="仿宋_GB2312"/>
                <w:color w:val="000000"/>
                <w:sz w:val="28"/>
                <w:szCs w:val="28"/>
              </w:rPr>
            </w:pPr>
            <w:r>
              <w:rPr>
                <w:rFonts w:ascii="仿宋_GB2312" w:hAnsi="宋体" w:eastAsia="仿宋_GB2312" w:cs="仿宋_GB2312"/>
                <w:color w:val="000000"/>
                <w:sz w:val="28"/>
                <w:szCs w:val="28"/>
              </w:rPr>
              <w:t>服务内容</w:t>
            </w:r>
          </w:p>
        </w:tc>
        <w:tc>
          <w:tcPr>
            <w:tcW w:w="1440" w:type="dxa"/>
            <w:tcBorders>
              <w:top w:val="single" w:color="000000" w:sz="8" w:space="0"/>
              <w:left w:val="nil"/>
              <w:bottom w:val="nil"/>
              <w:right w:val="single" w:color="000000" w:sz="8" w:space="0"/>
            </w:tcBorders>
            <w:vAlign w:val="center"/>
          </w:tcPr>
          <w:p w14:paraId="32420377">
            <w:pPr>
              <w:widowControl/>
              <w:snapToGrid w:val="0"/>
              <w:jc w:val="center"/>
              <w:textAlignment w:val="bottom"/>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单</w:t>
            </w:r>
            <w:r>
              <w:rPr>
                <w:rFonts w:ascii="仿宋_GB2312" w:hAnsi="宋体" w:eastAsia="仿宋_GB2312" w:cs="仿宋_GB2312"/>
                <w:color w:val="000000"/>
                <w:sz w:val="28"/>
                <w:szCs w:val="28"/>
              </w:rPr>
              <w:t>价（元）</w:t>
            </w:r>
          </w:p>
        </w:tc>
        <w:tc>
          <w:tcPr>
            <w:tcW w:w="1395" w:type="dxa"/>
            <w:tcBorders>
              <w:top w:val="single" w:color="000000" w:sz="8" w:space="0"/>
              <w:left w:val="nil"/>
              <w:bottom w:val="nil"/>
              <w:right w:val="single" w:color="000000" w:sz="8" w:space="0"/>
            </w:tcBorders>
            <w:vAlign w:val="center"/>
          </w:tcPr>
          <w:p w14:paraId="0703D3B2">
            <w:pPr>
              <w:widowControl/>
              <w:snapToGrid w:val="0"/>
              <w:jc w:val="center"/>
              <w:textAlignment w:val="bottom"/>
              <w:rPr>
                <w:rFonts w:ascii="仿宋_GB2312" w:hAnsi="宋体" w:eastAsia="仿宋_GB2312" w:cs="仿宋_GB2312"/>
                <w:color w:val="000000"/>
                <w:sz w:val="28"/>
                <w:szCs w:val="28"/>
              </w:rPr>
            </w:pPr>
            <w:r>
              <w:rPr>
                <w:rFonts w:ascii="仿宋_GB2312" w:hAnsi="宋体" w:eastAsia="仿宋_GB2312" w:cs="仿宋_GB2312"/>
                <w:color w:val="000000"/>
                <w:sz w:val="28"/>
                <w:szCs w:val="28"/>
              </w:rPr>
              <w:t>数量</w:t>
            </w:r>
          </w:p>
        </w:tc>
        <w:tc>
          <w:tcPr>
            <w:tcW w:w="1363" w:type="dxa"/>
            <w:tcBorders>
              <w:top w:val="single" w:color="000000" w:sz="8" w:space="0"/>
              <w:left w:val="nil"/>
              <w:bottom w:val="nil"/>
              <w:right w:val="single" w:color="000000" w:sz="8" w:space="0"/>
            </w:tcBorders>
            <w:vAlign w:val="center"/>
          </w:tcPr>
          <w:p w14:paraId="3A4991C1">
            <w:pPr>
              <w:widowControl/>
              <w:snapToGrid w:val="0"/>
              <w:jc w:val="center"/>
              <w:textAlignment w:val="bottom"/>
              <w:rPr>
                <w:rFonts w:ascii="仿宋_GB2312" w:hAnsi="宋体" w:eastAsia="仿宋_GB2312" w:cs="仿宋_GB2312"/>
                <w:color w:val="000000"/>
                <w:sz w:val="28"/>
                <w:szCs w:val="28"/>
              </w:rPr>
            </w:pPr>
            <w:r>
              <w:rPr>
                <w:rFonts w:ascii="仿宋_GB2312" w:hAnsi="宋体" w:eastAsia="仿宋_GB2312" w:cs="仿宋_GB2312"/>
                <w:color w:val="000000"/>
                <w:sz w:val="28"/>
                <w:szCs w:val="28"/>
              </w:rPr>
              <w:t>总计（元）</w:t>
            </w:r>
          </w:p>
        </w:tc>
      </w:tr>
      <w:tr w14:paraId="6BD11BD5">
        <w:tblPrEx>
          <w:tblCellMar>
            <w:top w:w="0" w:type="dxa"/>
            <w:left w:w="108" w:type="dxa"/>
            <w:bottom w:w="0" w:type="dxa"/>
            <w:right w:w="108" w:type="dxa"/>
          </w:tblCellMar>
        </w:tblPrEx>
        <w:trPr>
          <w:trHeight w:val="1236" w:hRule="atLeast"/>
          <w:jc w:val="center"/>
        </w:trPr>
        <w:tc>
          <w:tcPr>
            <w:tcW w:w="2370" w:type="dxa"/>
            <w:tcBorders>
              <w:top w:val="single" w:color="000000" w:sz="8" w:space="0"/>
              <w:left w:val="single" w:color="000000" w:sz="8" w:space="0"/>
              <w:bottom w:val="single" w:color="000000" w:sz="4" w:space="0"/>
              <w:right w:val="single" w:color="000000" w:sz="4" w:space="0"/>
            </w:tcBorders>
            <w:vAlign w:val="center"/>
          </w:tcPr>
          <w:p w14:paraId="669A9822">
            <w:pPr>
              <w:widowControl/>
              <w:snapToGrid w:val="0"/>
              <w:jc w:val="center"/>
              <w:textAlignment w:val="bottom"/>
              <w:rPr>
                <w:rFonts w:ascii="仿宋_GB2312" w:hAnsi="宋体" w:eastAsia="仿宋_GB2312" w:cs="仿宋_GB2312"/>
                <w:color w:val="000000"/>
                <w:sz w:val="28"/>
                <w:szCs w:val="28"/>
              </w:rPr>
            </w:pPr>
          </w:p>
        </w:tc>
        <w:tc>
          <w:tcPr>
            <w:tcW w:w="2925" w:type="dxa"/>
            <w:tcBorders>
              <w:top w:val="single" w:color="000000" w:sz="8" w:space="0"/>
              <w:left w:val="single" w:color="000000" w:sz="4" w:space="0"/>
              <w:bottom w:val="single" w:color="000000" w:sz="4" w:space="0"/>
              <w:right w:val="single" w:color="000000" w:sz="4" w:space="0"/>
            </w:tcBorders>
            <w:vAlign w:val="center"/>
          </w:tcPr>
          <w:p w14:paraId="3C950F2D">
            <w:pPr>
              <w:widowControl/>
              <w:snapToGrid w:val="0"/>
              <w:jc w:val="center"/>
              <w:textAlignment w:val="bottom"/>
              <w:rPr>
                <w:rFonts w:ascii="仿宋_GB2312" w:hAnsi="宋体" w:eastAsia="仿宋_GB2312" w:cs="仿宋_GB2312"/>
                <w:color w:val="000000"/>
                <w:sz w:val="28"/>
                <w:szCs w:val="28"/>
              </w:rPr>
            </w:pPr>
          </w:p>
        </w:tc>
        <w:tc>
          <w:tcPr>
            <w:tcW w:w="1440" w:type="dxa"/>
            <w:tcBorders>
              <w:top w:val="single" w:color="000000" w:sz="8" w:space="0"/>
              <w:left w:val="single" w:color="000000" w:sz="4" w:space="0"/>
              <w:bottom w:val="single" w:color="000000" w:sz="4" w:space="0"/>
              <w:right w:val="single" w:color="000000" w:sz="4" w:space="0"/>
            </w:tcBorders>
            <w:vAlign w:val="center"/>
          </w:tcPr>
          <w:p w14:paraId="05A61C3F">
            <w:pPr>
              <w:widowControl/>
              <w:snapToGrid w:val="0"/>
              <w:jc w:val="center"/>
              <w:textAlignment w:val="bottom"/>
              <w:rPr>
                <w:rFonts w:ascii="仿宋_GB2312" w:hAnsi="宋体" w:eastAsia="仿宋_GB2312" w:cs="仿宋_GB2312"/>
                <w:color w:val="000000"/>
                <w:sz w:val="28"/>
                <w:szCs w:val="28"/>
              </w:rPr>
            </w:pPr>
          </w:p>
        </w:tc>
        <w:tc>
          <w:tcPr>
            <w:tcW w:w="1395" w:type="dxa"/>
            <w:tcBorders>
              <w:top w:val="single" w:color="000000" w:sz="8" w:space="0"/>
              <w:left w:val="single" w:color="000000" w:sz="4" w:space="0"/>
              <w:bottom w:val="single" w:color="000000" w:sz="4" w:space="0"/>
              <w:right w:val="single" w:color="000000" w:sz="4" w:space="0"/>
            </w:tcBorders>
            <w:vAlign w:val="center"/>
          </w:tcPr>
          <w:p w14:paraId="0BA8B1DB">
            <w:pPr>
              <w:widowControl/>
              <w:snapToGrid w:val="0"/>
              <w:jc w:val="center"/>
              <w:textAlignment w:val="bottom"/>
              <w:rPr>
                <w:rFonts w:ascii="仿宋_GB2312" w:hAnsi="宋体" w:eastAsia="仿宋_GB2312" w:cs="仿宋_GB2312"/>
                <w:color w:val="000000"/>
                <w:sz w:val="28"/>
                <w:szCs w:val="28"/>
              </w:rPr>
            </w:pPr>
          </w:p>
        </w:tc>
        <w:tc>
          <w:tcPr>
            <w:tcW w:w="1363" w:type="dxa"/>
            <w:tcBorders>
              <w:top w:val="single" w:color="000000" w:sz="8" w:space="0"/>
              <w:left w:val="single" w:color="000000" w:sz="4" w:space="0"/>
              <w:bottom w:val="single" w:color="000000" w:sz="4" w:space="0"/>
              <w:right w:val="single" w:color="000000" w:sz="8" w:space="0"/>
            </w:tcBorders>
            <w:vAlign w:val="center"/>
          </w:tcPr>
          <w:p w14:paraId="7B4023C7">
            <w:pPr>
              <w:widowControl/>
              <w:snapToGrid w:val="0"/>
              <w:jc w:val="center"/>
              <w:textAlignment w:val="bottom"/>
              <w:rPr>
                <w:rFonts w:ascii="仿宋_GB2312" w:hAnsi="宋体" w:eastAsia="仿宋_GB2312" w:cs="仿宋_GB2312"/>
                <w:color w:val="000000"/>
                <w:sz w:val="28"/>
                <w:szCs w:val="28"/>
              </w:rPr>
            </w:pPr>
          </w:p>
        </w:tc>
      </w:tr>
      <w:tr w14:paraId="57E3C603">
        <w:tblPrEx>
          <w:tblCellMar>
            <w:top w:w="0" w:type="dxa"/>
            <w:left w:w="108" w:type="dxa"/>
            <w:bottom w:w="0" w:type="dxa"/>
            <w:right w:w="108" w:type="dxa"/>
          </w:tblCellMar>
        </w:tblPrEx>
        <w:trPr>
          <w:trHeight w:val="970" w:hRule="atLeast"/>
          <w:jc w:val="center"/>
        </w:trPr>
        <w:tc>
          <w:tcPr>
            <w:tcW w:w="2370" w:type="dxa"/>
            <w:tcBorders>
              <w:top w:val="single" w:color="000000" w:sz="8" w:space="0"/>
              <w:left w:val="single" w:color="000000" w:sz="8" w:space="0"/>
              <w:bottom w:val="single" w:color="000000" w:sz="4" w:space="0"/>
              <w:right w:val="single" w:color="000000" w:sz="4" w:space="0"/>
            </w:tcBorders>
            <w:vAlign w:val="center"/>
          </w:tcPr>
          <w:p w14:paraId="3DDE3CA5">
            <w:pPr>
              <w:widowControl/>
              <w:snapToGrid w:val="0"/>
              <w:jc w:val="center"/>
              <w:textAlignment w:val="bottom"/>
              <w:rPr>
                <w:rFonts w:ascii="仿宋_GB2312" w:hAnsi="宋体" w:eastAsia="仿宋_GB2312" w:cs="仿宋_GB2312"/>
                <w:color w:val="000000"/>
                <w:sz w:val="28"/>
                <w:szCs w:val="28"/>
              </w:rPr>
            </w:pPr>
          </w:p>
        </w:tc>
        <w:tc>
          <w:tcPr>
            <w:tcW w:w="2925" w:type="dxa"/>
            <w:tcBorders>
              <w:top w:val="single" w:color="000000" w:sz="8" w:space="0"/>
              <w:left w:val="single" w:color="000000" w:sz="4" w:space="0"/>
              <w:bottom w:val="single" w:color="000000" w:sz="4" w:space="0"/>
              <w:right w:val="single" w:color="000000" w:sz="4" w:space="0"/>
            </w:tcBorders>
            <w:vAlign w:val="center"/>
          </w:tcPr>
          <w:p w14:paraId="2EB65E64">
            <w:pPr>
              <w:widowControl/>
              <w:snapToGrid w:val="0"/>
              <w:jc w:val="center"/>
              <w:textAlignment w:val="bottom"/>
              <w:rPr>
                <w:rFonts w:ascii="仿宋_GB2312" w:hAnsi="宋体" w:eastAsia="仿宋_GB2312" w:cs="仿宋_GB2312"/>
                <w:color w:val="000000"/>
                <w:sz w:val="28"/>
                <w:szCs w:val="28"/>
              </w:rPr>
            </w:pPr>
          </w:p>
        </w:tc>
        <w:tc>
          <w:tcPr>
            <w:tcW w:w="1440" w:type="dxa"/>
            <w:tcBorders>
              <w:top w:val="single" w:color="000000" w:sz="8" w:space="0"/>
              <w:left w:val="single" w:color="000000" w:sz="4" w:space="0"/>
              <w:bottom w:val="single" w:color="000000" w:sz="4" w:space="0"/>
              <w:right w:val="single" w:color="000000" w:sz="4" w:space="0"/>
            </w:tcBorders>
            <w:vAlign w:val="center"/>
          </w:tcPr>
          <w:p w14:paraId="442386EC">
            <w:pPr>
              <w:widowControl/>
              <w:snapToGrid w:val="0"/>
              <w:jc w:val="center"/>
              <w:textAlignment w:val="bottom"/>
              <w:rPr>
                <w:rFonts w:ascii="仿宋_GB2312" w:hAnsi="宋体" w:eastAsia="仿宋_GB2312" w:cs="仿宋_GB2312"/>
                <w:color w:val="000000"/>
                <w:sz w:val="28"/>
                <w:szCs w:val="28"/>
              </w:rPr>
            </w:pPr>
          </w:p>
        </w:tc>
        <w:tc>
          <w:tcPr>
            <w:tcW w:w="1395" w:type="dxa"/>
            <w:tcBorders>
              <w:top w:val="single" w:color="000000" w:sz="8" w:space="0"/>
              <w:left w:val="single" w:color="000000" w:sz="4" w:space="0"/>
              <w:bottom w:val="single" w:color="000000" w:sz="4" w:space="0"/>
              <w:right w:val="single" w:color="000000" w:sz="4" w:space="0"/>
            </w:tcBorders>
            <w:vAlign w:val="center"/>
          </w:tcPr>
          <w:p w14:paraId="61CD4B64">
            <w:pPr>
              <w:widowControl/>
              <w:snapToGrid w:val="0"/>
              <w:jc w:val="center"/>
              <w:textAlignment w:val="bottom"/>
              <w:rPr>
                <w:rFonts w:ascii="仿宋_GB2312" w:hAnsi="宋体" w:eastAsia="仿宋_GB2312" w:cs="仿宋_GB2312"/>
                <w:color w:val="000000"/>
                <w:sz w:val="28"/>
                <w:szCs w:val="28"/>
              </w:rPr>
            </w:pPr>
          </w:p>
        </w:tc>
        <w:tc>
          <w:tcPr>
            <w:tcW w:w="1363" w:type="dxa"/>
            <w:tcBorders>
              <w:top w:val="single" w:color="000000" w:sz="8" w:space="0"/>
              <w:left w:val="single" w:color="000000" w:sz="4" w:space="0"/>
              <w:bottom w:val="single" w:color="000000" w:sz="4" w:space="0"/>
              <w:right w:val="single" w:color="000000" w:sz="8" w:space="0"/>
            </w:tcBorders>
            <w:vAlign w:val="center"/>
          </w:tcPr>
          <w:p w14:paraId="1BC5628D">
            <w:pPr>
              <w:widowControl/>
              <w:snapToGrid w:val="0"/>
              <w:jc w:val="center"/>
              <w:textAlignment w:val="bottom"/>
              <w:rPr>
                <w:rFonts w:ascii="仿宋_GB2312" w:hAnsi="宋体" w:eastAsia="仿宋_GB2312" w:cs="仿宋_GB2312"/>
                <w:color w:val="000000"/>
                <w:sz w:val="28"/>
                <w:szCs w:val="28"/>
              </w:rPr>
            </w:pPr>
          </w:p>
        </w:tc>
      </w:tr>
      <w:tr w14:paraId="20E68E4C">
        <w:tblPrEx>
          <w:tblCellMar>
            <w:top w:w="0" w:type="dxa"/>
            <w:left w:w="108" w:type="dxa"/>
            <w:bottom w:w="0" w:type="dxa"/>
            <w:right w:w="108" w:type="dxa"/>
          </w:tblCellMar>
        </w:tblPrEx>
        <w:trPr>
          <w:trHeight w:val="970" w:hRule="atLeast"/>
          <w:jc w:val="center"/>
        </w:trPr>
        <w:tc>
          <w:tcPr>
            <w:tcW w:w="2370" w:type="dxa"/>
            <w:tcBorders>
              <w:top w:val="single" w:color="000000" w:sz="8" w:space="0"/>
              <w:left w:val="single" w:color="000000" w:sz="8" w:space="0"/>
              <w:bottom w:val="single" w:color="000000" w:sz="4" w:space="0"/>
              <w:right w:val="single" w:color="000000" w:sz="4" w:space="0"/>
            </w:tcBorders>
            <w:vAlign w:val="center"/>
          </w:tcPr>
          <w:p w14:paraId="2D35D7C2">
            <w:pPr>
              <w:widowControl/>
              <w:snapToGrid w:val="0"/>
              <w:jc w:val="center"/>
              <w:textAlignment w:val="bottom"/>
              <w:rPr>
                <w:rFonts w:ascii="仿宋_GB2312" w:hAnsi="宋体" w:eastAsia="仿宋_GB2312" w:cs="仿宋_GB2312"/>
                <w:color w:val="000000"/>
                <w:sz w:val="28"/>
                <w:szCs w:val="28"/>
              </w:rPr>
            </w:pPr>
          </w:p>
        </w:tc>
        <w:tc>
          <w:tcPr>
            <w:tcW w:w="2925" w:type="dxa"/>
            <w:tcBorders>
              <w:top w:val="single" w:color="000000" w:sz="8" w:space="0"/>
              <w:left w:val="single" w:color="000000" w:sz="4" w:space="0"/>
              <w:bottom w:val="single" w:color="000000" w:sz="4" w:space="0"/>
              <w:right w:val="single" w:color="000000" w:sz="4" w:space="0"/>
            </w:tcBorders>
            <w:vAlign w:val="center"/>
          </w:tcPr>
          <w:p w14:paraId="1F1B0C47">
            <w:pPr>
              <w:widowControl/>
              <w:snapToGrid w:val="0"/>
              <w:jc w:val="center"/>
              <w:textAlignment w:val="bottom"/>
              <w:rPr>
                <w:rFonts w:ascii="仿宋_GB2312" w:hAnsi="宋体" w:eastAsia="仿宋_GB2312" w:cs="仿宋_GB2312"/>
                <w:color w:val="000000"/>
                <w:sz w:val="28"/>
                <w:szCs w:val="28"/>
              </w:rPr>
            </w:pPr>
          </w:p>
        </w:tc>
        <w:tc>
          <w:tcPr>
            <w:tcW w:w="1440" w:type="dxa"/>
            <w:tcBorders>
              <w:top w:val="single" w:color="000000" w:sz="8" w:space="0"/>
              <w:left w:val="single" w:color="000000" w:sz="4" w:space="0"/>
              <w:bottom w:val="single" w:color="000000" w:sz="4" w:space="0"/>
              <w:right w:val="single" w:color="000000" w:sz="4" w:space="0"/>
            </w:tcBorders>
            <w:vAlign w:val="center"/>
          </w:tcPr>
          <w:p w14:paraId="0F9315AD">
            <w:pPr>
              <w:widowControl/>
              <w:snapToGrid w:val="0"/>
              <w:jc w:val="center"/>
              <w:textAlignment w:val="bottom"/>
              <w:rPr>
                <w:rFonts w:ascii="仿宋_GB2312" w:hAnsi="宋体" w:eastAsia="仿宋_GB2312" w:cs="仿宋_GB2312"/>
                <w:color w:val="000000"/>
                <w:sz w:val="28"/>
                <w:szCs w:val="28"/>
              </w:rPr>
            </w:pPr>
          </w:p>
        </w:tc>
        <w:tc>
          <w:tcPr>
            <w:tcW w:w="1395" w:type="dxa"/>
            <w:tcBorders>
              <w:top w:val="single" w:color="000000" w:sz="8" w:space="0"/>
              <w:left w:val="single" w:color="000000" w:sz="4" w:space="0"/>
              <w:bottom w:val="single" w:color="000000" w:sz="4" w:space="0"/>
              <w:right w:val="single" w:color="000000" w:sz="4" w:space="0"/>
            </w:tcBorders>
            <w:vAlign w:val="center"/>
          </w:tcPr>
          <w:p w14:paraId="384B5221">
            <w:pPr>
              <w:widowControl/>
              <w:snapToGrid w:val="0"/>
              <w:jc w:val="center"/>
              <w:textAlignment w:val="bottom"/>
              <w:rPr>
                <w:rFonts w:ascii="仿宋_GB2312" w:hAnsi="宋体" w:eastAsia="仿宋_GB2312" w:cs="仿宋_GB2312"/>
                <w:color w:val="000000"/>
                <w:sz w:val="28"/>
                <w:szCs w:val="28"/>
              </w:rPr>
            </w:pPr>
          </w:p>
        </w:tc>
        <w:tc>
          <w:tcPr>
            <w:tcW w:w="1363" w:type="dxa"/>
            <w:tcBorders>
              <w:top w:val="single" w:color="000000" w:sz="8" w:space="0"/>
              <w:left w:val="single" w:color="000000" w:sz="4" w:space="0"/>
              <w:bottom w:val="single" w:color="000000" w:sz="4" w:space="0"/>
              <w:right w:val="single" w:color="000000" w:sz="8" w:space="0"/>
            </w:tcBorders>
            <w:vAlign w:val="center"/>
          </w:tcPr>
          <w:p w14:paraId="4394D549">
            <w:pPr>
              <w:widowControl/>
              <w:snapToGrid w:val="0"/>
              <w:jc w:val="center"/>
              <w:textAlignment w:val="bottom"/>
              <w:rPr>
                <w:rFonts w:ascii="仿宋_GB2312" w:hAnsi="宋体" w:eastAsia="仿宋_GB2312" w:cs="仿宋_GB2312"/>
                <w:color w:val="000000"/>
                <w:sz w:val="28"/>
                <w:szCs w:val="28"/>
              </w:rPr>
            </w:pPr>
          </w:p>
        </w:tc>
      </w:tr>
      <w:tr w14:paraId="721E8040">
        <w:tblPrEx>
          <w:tblCellMar>
            <w:top w:w="0" w:type="dxa"/>
            <w:left w:w="108" w:type="dxa"/>
            <w:bottom w:w="0" w:type="dxa"/>
            <w:right w:w="108" w:type="dxa"/>
          </w:tblCellMar>
        </w:tblPrEx>
        <w:trPr>
          <w:trHeight w:val="390" w:hRule="atLeast"/>
          <w:jc w:val="center"/>
        </w:trPr>
        <w:tc>
          <w:tcPr>
            <w:tcW w:w="2370" w:type="dxa"/>
            <w:tcBorders>
              <w:top w:val="nil"/>
              <w:left w:val="single" w:color="000000" w:sz="8" w:space="0"/>
              <w:bottom w:val="single" w:color="000000" w:sz="8" w:space="0"/>
              <w:right w:val="single" w:color="000000" w:sz="8" w:space="0"/>
            </w:tcBorders>
            <w:vAlign w:val="center"/>
          </w:tcPr>
          <w:p w14:paraId="3D410787">
            <w:pPr>
              <w:widowControl/>
              <w:snapToGrid w:val="0"/>
              <w:jc w:val="center"/>
              <w:textAlignment w:val="bottom"/>
              <w:rPr>
                <w:rFonts w:ascii="仿宋_GB2312" w:hAnsi="宋体" w:eastAsia="仿宋_GB2312" w:cs="仿宋_GB2312"/>
                <w:color w:val="000000"/>
                <w:sz w:val="28"/>
                <w:szCs w:val="28"/>
              </w:rPr>
            </w:pPr>
            <w:r>
              <w:rPr>
                <w:rFonts w:ascii="仿宋_GB2312" w:hAnsi="宋体" w:eastAsia="仿宋_GB2312" w:cs="仿宋_GB2312"/>
                <w:color w:val="000000"/>
                <w:sz w:val="28"/>
                <w:szCs w:val="28"/>
              </w:rPr>
              <w:t>费用合计</w:t>
            </w:r>
          </w:p>
        </w:tc>
        <w:tc>
          <w:tcPr>
            <w:tcW w:w="7123" w:type="dxa"/>
            <w:gridSpan w:val="4"/>
            <w:tcBorders>
              <w:top w:val="nil"/>
              <w:left w:val="nil"/>
              <w:bottom w:val="single" w:color="000000" w:sz="8" w:space="0"/>
              <w:right w:val="single" w:color="000000" w:sz="8" w:space="0"/>
            </w:tcBorders>
            <w:vAlign w:val="center"/>
          </w:tcPr>
          <w:p w14:paraId="39DDD5F7">
            <w:pPr>
              <w:widowControl/>
              <w:snapToGrid w:val="0"/>
              <w:jc w:val="left"/>
              <w:textAlignment w:val="bottom"/>
              <w:rPr>
                <w:rFonts w:ascii="仿宋_GB2312" w:hAnsi="宋体" w:eastAsia="仿宋_GB2312" w:cs="仿宋_GB2312"/>
                <w:color w:val="000000"/>
                <w:sz w:val="28"/>
                <w:szCs w:val="28"/>
              </w:rPr>
            </w:pPr>
            <w:r>
              <w:rPr>
                <w:rFonts w:ascii="仿宋_GB2312" w:hAnsi="宋体" w:eastAsia="仿宋_GB2312" w:cs="仿宋_GB2312"/>
                <w:color w:val="000000"/>
                <w:sz w:val="28"/>
                <w:szCs w:val="28"/>
              </w:rPr>
              <w:t xml:space="preserve"> </w:t>
            </w:r>
            <w:r>
              <w:rPr>
                <w:rFonts w:hint="eastAsia" w:ascii="仿宋_GB2312" w:hAnsi="宋体" w:eastAsia="仿宋_GB2312" w:cs="仿宋_GB2312"/>
                <w:color w:val="000000"/>
                <w:sz w:val="28"/>
                <w:szCs w:val="28"/>
              </w:rPr>
              <w:t xml:space="preserve">￥       </w:t>
            </w:r>
            <w:r>
              <w:rPr>
                <w:rFonts w:ascii="仿宋_GB2312" w:hAnsi="宋体" w:eastAsia="仿宋_GB2312" w:cs="仿宋_GB2312"/>
                <w:color w:val="000000"/>
                <w:sz w:val="28"/>
                <w:szCs w:val="28"/>
              </w:rPr>
              <w:t>元（ 大写：</w:t>
            </w:r>
            <w:r>
              <w:rPr>
                <w:rFonts w:hint="eastAsia" w:ascii="仿宋_GB2312" w:hAnsi="宋体" w:eastAsia="仿宋_GB2312" w:cs="仿宋_GB2312"/>
                <w:color w:val="000000"/>
                <w:sz w:val="28"/>
                <w:szCs w:val="28"/>
              </w:rPr>
              <w:t xml:space="preserve">       </w:t>
            </w:r>
            <w:r>
              <w:rPr>
                <w:rFonts w:ascii="仿宋_GB2312" w:hAnsi="宋体" w:eastAsia="仿宋_GB2312" w:cs="仿宋_GB2312"/>
                <w:color w:val="000000"/>
                <w:sz w:val="28"/>
                <w:szCs w:val="28"/>
              </w:rPr>
              <w:t>）</w:t>
            </w:r>
          </w:p>
        </w:tc>
      </w:tr>
    </w:tbl>
    <w:p w14:paraId="0B167D4A">
      <w:pPr>
        <w:ind w:firstLine="5880" w:firstLineChars="2800"/>
        <w:rPr>
          <w:rFonts w:hint="default"/>
          <w:b w:val="0"/>
          <w:bCs/>
          <w:lang w:val="en-US" w:eastAsia="zh-CN"/>
        </w:rPr>
      </w:pPr>
    </w:p>
    <w:p w14:paraId="4BC392B0">
      <w:pPr>
        <w:rPr>
          <w:rFonts w:hint="eastAsia"/>
          <w:lang w:eastAsia="zh-CN"/>
        </w:rPr>
      </w:pPr>
    </w:p>
    <w:p w14:paraId="2EFF0C56">
      <w:pPr>
        <w:rPr>
          <w:rFonts w:hint="eastAsia"/>
          <w:lang w:eastAsia="zh-CN"/>
        </w:rPr>
      </w:pPr>
    </w:p>
    <w:p w14:paraId="7CA219E9">
      <w:pPr>
        <w:spacing w:line="360" w:lineRule="auto"/>
        <w:jc w:val="left"/>
        <w:rPr>
          <w:rFonts w:hint="eastAsia" w:ascii="宋体" w:hAnsi="宋体"/>
          <w:sz w:val="28"/>
          <w:szCs w:val="24"/>
          <w:lang w:eastAsia="zh-CN"/>
        </w:rPr>
      </w:pPr>
    </w:p>
    <w:p w14:paraId="2868BC7B">
      <w:pPr>
        <w:spacing w:line="360" w:lineRule="auto"/>
        <w:jc w:val="left"/>
        <w:rPr>
          <w:rFonts w:hint="eastAsia" w:ascii="宋体" w:hAnsi="宋体"/>
          <w:sz w:val="28"/>
          <w:szCs w:val="24"/>
          <w:lang w:eastAsia="zh-CN"/>
        </w:rPr>
      </w:pPr>
    </w:p>
    <w:p w14:paraId="34531CEB">
      <w:pPr>
        <w:spacing w:line="360" w:lineRule="auto"/>
        <w:jc w:val="left"/>
        <w:rPr>
          <w:rFonts w:hint="eastAsia" w:ascii="宋体" w:hAnsi="宋体"/>
          <w:sz w:val="28"/>
          <w:szCs w:val="24"/>
          <w:lang w:eastAsia="zh-CN"/>
        </w:rPr>
      </w:pPr>
    </w:p>
    <w:p w14:paraId="660F0D26">
      <w:pPr>
        <w:spacing w:line="360" w:lineRule="auto"/>
        <w:jc w:val="left"/>
        <w:rPr>
          <w:rFonts w:hint="eastAsia" w:ascii="宋体" w:hAnsi="宋体"/>
          <w:sz w:val="28"/>
          <w:szCs w:val="24"/>
          <w:lang w:eastAsia="zh-CN"/>
        </w:rPr>
      </w:pPr>
    </w:p>
    <w:p w14:paraId="591123C5">
      <w:pPr>
        <w:spacing w:line="360" w:lineRule="auto"/>
        <w:jc w:val="left"/>
        <w:rPr>
          <w:rFonts w:hint="eastAsia" w:ascii="宋体" w:hAnsi="宋体"/>
          <w:sz w:val="28"/>
          <w:szCs w:val="24"/>
          <w:lang w:eastAsia="zh-CN"/>
        </w:rPr>
      </w:pPr>
    </w:p>
    <w:p w14:paraId="3172D94C">
      <w:pPr>
        <w:spacing w:line="360" w:lineRule="auto"/>
        <w:jc w:val="left"/>
        <w:rPr>
          <w:rFonts w:hint="eastAsia" w:ascii="宋体" w:hAnsi="宋体"/>
          <w:sz w:val="28"/>
          <w:szCs w:val="24"/>
          <w:lang w:eastAsia="zh-CN"/>
        </w:rPr>
      </w:pPr>
    </w:p>
    <w:p w14:paraId="296BEBD5">
      <w:pPr>
        <w:spacing w:line="360" w:lineRule="auto"/>
        <w:jc w:val="left"/>
        <w:rPr>
          <w:rFonts w:hint="eastAsia" w:ascii="宋体" w:hAnsi="宋体"/>
          <w:sz w:val="28"/>
          <w:szCs w:val="24"/>
          <w:lang w:eastAsia="zh-CN"/>
        </w:rPr>
      </w:pPr>
    </w:p>
    <w:p w14:paraId="7F8523BE">
      <w:pPr>
        <w:spacing w:line="360" w:lineRule="auto"/>
        <w:jc w:val="left"/>
        <w:rPr>
          <w:rFonts w:hint="eastAsia" w:ascii="宋体" w:hAnsi="宋体"/>
          <w:sz w:val="28"/>
          <w:szCs w:val="24"/>
          <w:lang w:eastAsia="zh-CN"/>
        </w:rPr>
      </w:pPr>
    </w:p>
    <w:p w14:paraId="3C9CF23D">
      <w:pPr>
        <w:spacing w:line="360" w:lineRule="auto"/>
        <w:jc w:val="left"/>
        <w:rPr>
          <w:rFonts w:hint="eastAsia" w:ascii="宋体" w:hAnsi="宋体"/>
          <w:sz w:val="28"/>
          <w:szCs w:val="24"/>
          <w:lang w:eastAsia="zh-CN"/>
        </w:rPr>
      </w:pPr>
    </w:p>
    <w:p w14:paraId="4EFFAE9E">
      <w:pPr>
        <w:spacing w:line="360" w:lineRule="auto"/>
        <w:jc w:val="left"/>
        <w:rPr>
          <w:rFonts w:hint="eastAsia" w:ascii="宋体" w:hAnsi="宋体"/>
          <w:sz w:val="28"/>
          <w:szCs w:val="24"/>
          <w:lang w:eastAsia="zh-CN"/>
        </w:rPr>
      </w:pPr>
    </w:p>
    <w:p w14:paraId="000FCA8D">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75AF14CD">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AE5C4C"/>
    <w:multiLevelType w:val="singleLevel"/>
    <w:tmpl w:val="D1AE5C4C"/>
    <w:lvl w:ilvl="0" w:tentative="0">
      <w:start w:val="1"/>
      <w:numFmt w:val="decimal"/>
      <w:suff w:val="nothing"/>
      <w:lvlText w:val="（%1）"/>
      <w:lvlJc w:val="left"/>
    </w:lvl>
  </w:abstractNum>
  <w:abstractNum w:abstractNumId="1">
    <w:nsid w:val="E6CB5BBB"/>
    <w:multiLevelType w:val="singleLevel"/>
    <w:tmpl w:val="E6CB5BBB"/>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630CD2"/>
    <w:rsid w:val="027C23CB"/>
    <w:rsid w:val="04215A92"/>
    <w:rsid w:val="060A7E98"/>
    <w:rsid w:val="06C51B03"/>
    <w:rsid w:val="083E6CDE"/>
    <w:rsid w:val="09CF5F28"/>
    <w:rsid w:val="0DBE4D14"/>
    <w:rsid w:val="0FD43AE2"/>
    <w:rsid w:val="10265AFA"/>
    <w:rsid w:val="11BF02E2"/>
    <w:rsid w:val="157A7D17"/>
    <w:rsid w:val="172F5F0F"/>
    <w:rsid w:val="17C821E7"/>
    <w:rsid w:val="1B9C2560"/>
    <w:rsid w:val="1CCB354F"/>
    <w:rsid w:val="1F4800E9"/>
    <w:rsid w:val="22F015DA"/>
    <w:rsid w:val="263D7F73"/>
    <w:rsid w:val="28AD5878"/>
    <w:rsid w:val="28F20B4F"/>
    <w:rsid w:val="29590C9E"/>
    <w:rsid w:val="2A0E5657"/>
    <w:rsid w:val="2C023888"/>
    <w:rsid w:val="2C965839"/>
    <w:rsid w:val="2E644021"/>
    <w:rsid w:val="2EEF4086"/>
    <w:rsid w:val="32C03127"/>
    <w:rsid w:val="35FC0B0D"/>
    <w:rsid w:val="381C0D78"/>
    <w:rsid w:val="3D6C2B1D"/>
    <w:rsid w:val="43EB5CCF"/>
    <w:rsid w:val="44F15D91"/>
    <w:rsid w:val="453C31DA"/>
    <w:rsid w:val="45E2760E"/>
    <w:rsid w:val="47DF7817"/>
    <w:rsid w:val="4C5E07CF"/>
    <w:rsid w:val="4D336154"/>
    <w:rsid w:val="5234419F"/>
    <w:rsid w:val="579A018A"/>
    <w:rsid w:val="5A14394E"/>
    <w:rsid w:val="5B757024"/>
    <w:rsid w:val="605A5631"/>
    <w:rsid w:val="623F25B5"/>
    <w:rsid w:val="648E327A"/>
    <w:rsid w:val="68EC2674"/>
    <w:rsid w:val="6B1A494C"/>
    <w:rsid w:val="6F216AC5"/>
    <w:rsid w:val="70E809D5"/>
    <w:rsid w:val="72FC7B39"/>
    <w:rsid w:val="742100F6"/>
    <w:rsid w:val="750C18A9"/>
    <w:rsid w:val="75C13CDD"/>
    <w:rsid w:val="7608510E"/>
    <w:rsid w:val="776865AD"/>
    <w:rsid w:val="77901696"/>
    <w:rsid w:val="78FE134A"/>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Date"/>
    <w:basedOn w:val="1"/>
    <w:next w:val="1"/>
    <w:qFormat/>
    <w:uiPriority w:val="99"/>
    <w:pPr>
      <w:adjustRightInd w:val="0"/>
      <w:spacing w:line="360" w:lineRule="atLeast"/>
      <w:ind w:left="100" w:leftChars="2500"/>
      <w:jc w:val="left"/>
      <w:textAlignment w:val="baseline"/>
    </w:pPr>
    <w:rPr>
      <w:rFonts w:ascii="Calibri" w:hAnsi="Calibri" w:eastAsia="宋体" w:cs="Times New Roman"/>
      <w:kern w:val="0"/>
      <w:sz w:val="24"/>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3157</Words>
  <Characters>3307</Characters>
  <Lines>0</Lines>
  <Paragraphs>0</Paragraphs>
  <TotalTime>5</TotalTime>
  <ScaleCrop>false</ScaleCrop>
  <LinksUpToDate>false</LinksUpToDate>
  <CharactersWithSpaces>3886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刘凤翔</cp:lastModifiedBy>
  <dcterms:modified xsi:type="dcterms:W3CDTF">2025-06-06T02:16:58Z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FFF56234D18C4C6E82B344861F2E86F4_11</vt:lpwstr>
  </property>
  <property fmtid="{D5CDD505-2E9C-101B-9397-08002B2CF9AE}" pid="4" name="KSOTemplateDocerSaveRecord">
    <vt:lpwstr>eyJoZGlkIjoiZDMyMWNkODM1ZWY1ZDExZjk4NmE1YjE4MzExZGY4ZDMiLCJ1c2VySWQiOiIxNjgyMzEyMTMyIn0=</vt:lpwstr>
  </property>
</Properties>
</file>