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94325">
      <w:pPr>
        <w:jc w:val="center"/>
        <w:rPr>
          <w:rFonts w:ascii="微软雅黑" w:hAnsi="微软雅黑" w:eastAsia="微软雅黑"/>
          <w:color w:val="auto"/>
          <w:sz w:val="32"/>
          <w:szCs w:val="32"/>
          <w:highlight w:val="none"/>
        </w:rPr>
      </w:pPr>
      <w:r>
        <w:rPr>
          <w:rStyle w:val="21"/>
          <w:rFonts w:hint="eastAsia" w:ascii="微软雅黑" w:hAnsi="微软雅黑" w:eastAsia="微软雅黑"/>
          <w:color w:val="auto"/>
          <w:sz w:val="32"/>
          <w:szCs w:val="32"/>
          <w:highlight w:val="none"/>
        </w:rPr>
        <w:t>天津水务集团有限公司</w:t>
      </w:r>
    </w:p>
    <w:p w14:paraId="3BA233DF">
      <w:pPr>
        <w:jc w:val="center"/>
        <w:rPr>
          <w:rFonts w:ascii="微软雅黑" w:hAnsi="微软雅黑" w:eastAsia="微软雅黑"/>
          <w:color w:val="auto"/>
          <w:sz w:val="32"/>
          <w:szCs w:val="32"/>
          <w:highlight w:val="none"/>
        </w:rPr>
      </w:pPr>
      <w:r>
        <w:rPr>
          <w:rStyle w:val="21"/>
          <w:rFonts w:hint="eastAsia" w:ascii="微软雅黑" w:hAnsi="微软雅黑" w:eastAsia="微软雅黑"/>
          <w:color w:val="auto"/>
          <w:sz w:val="32"/>
          <w:szCs w:val="32"/>
          <w:highlight w:val="none"/>
        </w:rPr>
        <w:t>询价文件</w:t>
      </w:r>
    </w:p>
    <w:p w14:paraId="1DA36EEA">
      <w:pPr>
        <w:pStyle w:val="25"/>
        <w:numPr>
          <w:ilvl w:val="0"/>
          <w:numId w:val="2"/>
        </w:numPr>
        <w:spacing w:line="360" w:lineRule="auto"/>
        <w:ind w:left="0" w:firstLine="424" w:firstLineChars="177"/>
        <w:contextualSpacing/>
        <w:rPr>
          <w:color w:val="auto"/>
          <w:highlight w:val="none"/>
        </w:rPr>
      </w:pPr>
      <w:r>
        <w:rPr>
          <w:rFonts w:hint="eastAsia"/>
          <w:color w:val="auto"/>
          <w:highlight w:val="none"/>
        </w:rPr>
        <w:t>项目需求：</w:t>
      </w:r>
    </w:p>
    <w:p w14:paraId="3088DF8E">
      <w:pPr>
        <w:pStyle w:val="25"/>
        <w:numPr>
          <w:ilvl w:val="255"/>
          <w:numId w:val="0"/>
        </w:numPr>
        <w:spacing w:line="360" w:lineRule="auto"/>
        <w:ind w:left="372" w:leftChars="177" w:firstLine="480" w:firstLineChars="200"/>
        <w:contextualSpacing/>
        <w:rPr>
          <w:color w:val="auto"/>
          <w:highlight w:val="none"/>
        </w:rPr>
      </w:pPr>
      <w:r>
        <w:rPr>
          <w:rStyle w:val="32"/>
          <w:rFonts w:hint="eastAsia" w:ascii="宋体" w:hAnsi="宋体" w:cs="宋体"/>
          <w:color w:val="auto"/>
          <w:highlight w:val="none"/>
        </w:rPr>
        <w:t>（SW-ZB-F-2025-0033）水务集团职业健康安全管理体系、环境管理体系认证服务</w:t>
      </w:r>
      <w:r>
        <w:rPr>
          <w:rStyle w:val="32"/>
          <w:rFonts w:hint="eastAsia" w:cs="宋体"/>
          <w:color w:val="auto"/>
          <w:highlight w:val="none"/>
        </w:rPr>
        <w:t>项目：</w:t>
      </w:r>
      <w:r>
        <w:rPr>
          <w:rStyle w:val="32"/>
          <w:rFonts w:hint="eastAsia" w:ascii="宋体" w:hAnsi="宋体" w:cs="宋体"/>
          <w:color w:val="auto"/>
          <w:highlight w:val="none"/>
        </w:rPr>
        <w:t>根据国家认证认可相关法律法规要求，依据职业健康安全管理体系、环境管理体系认证标准，建立一套符合经营管理需要的切实可行的管理体系，应提供咨询/服务团队、审核/认证服务团队。确保于2025年12月15日前获得国家认可的职业健康安全管理体系、环境管理体系认证证书，且证书具备IAF认可标识和CNAS或ANAB或UKAS认可标识,2026年12月14日之前完成第一次监督认证，2027年12月13日之前完成第二次监督认证</w:t>
      </w:r>
      <w:r>
        <w:rPr>
          <w:rStyle w:val="32"/>
          <w:rFonts w:hint="eastAsia" w:cs="宋体"/>
          <w:color w:val="auto"/>
          <w:highlight w:val="none"/>
          <w:lang w:eastAsia="zh-CN"/>
        </w:rPr>
        <w:t>，</w:t>
      </w:r>
      <w:r>
        <w:rPr>
          <w:rFonts w:hint="eastAsia"/>
          <w:color w:val="auto"/>
          <w:highlight w:val="none"/>
        </w:rPr>
        <w:t>具体内容及要求详见项目需求书。</w:t>
      </w:r>
    </w:p>
    <w:p w14:paraId="725267F9">
      <w:pPr>
        <w:pStyle w:val="25"/>
        <w:numPr>
          <w:ilvl w:val="0"/>
          <w:numId w:val="2"/>
        </w:numPr>
        <w:spacing w:line="360" w:lineRule="auto"/>
        <w:ind w:left="0" w:firstLine="424" w:firstLineChars="177"/>
        <w:contextualSpacing/>
        <w:rPr>
          <w:color w:val="auto"/>
          <w:highlight w:val="none"/>
        </w:rPr>
      </w:pPr>
      <w:r>
        <w:rPr>
          <w:rFonts w:hint="eastAsia"/>
          <w:color w:val="auto"/>
          <w:highlight w:val="none"/>
        </w:rPr>
        <w:t>资格要求：</w:t>
      </w:r>
    </w:p>
    <w:p w14:paraId="4CF62EAC">
      <w:pPr>
        <w:pStyle w:val="25"/>
        <w:numPr>
          <w:ilvl w:val="255"/>
          <w:numId w:val="0"/>
        </w:numPr>
        <w:spacing w:line="360" w:lineRule="auto"/>
        <w:ind w:left="372" w:leftChars="177"/>
        <w:contextualSpacing/>
        <w:rPr>
          <w:color w:val="auto"/>
          <w:highlight w:val="none"/>
        </w:rPr>
      </w:pPr>
      <w:r>
        <w:rPr>
          <w:rFonts w:hint="eastAsia"/>
          <w:color w:val="auto"/>
          <w:highlight w:val="none"/>
        </w:rPr>
        <w:t>1.</w:t>
      </w:r>
      <w:bookmarkStart w:id="0" w:name="_Hlk155278207"/>
      <w:bookmarkStart w:id="1" w:name="_Hlk155278269"/>
      <w:r>
        <w:rPr>
          <w:rFonts w:hint="eastAsia"/>
          <w:color w:val="auto"/>
          <w:highlight w:val="none"/>
        </w:rPr>
        <w:t>具备独立法人资格，须提供有效期内的营业执照；</w:t>
      </w:r>
    </w:p>
    <w:p w14:paraId="21606A6A">
      <w:pPr>
        <w:pStyle w:val="25"/>
        <w:numPr>
          <w:ilvl w:val="255"/>
          <w:numId w:val="0"/>
        </w:numPr>
        <w:spacing w:line="360" w:lineRule="auto"/>
        <w:ind w:left="372" w:leftChars="177"/>
        <w:contextualSpacing/>
        <w:rPr>
          <w:color w:val="auto"/>
          <w:highlight w:val="none"/>
        </w:rPr>
      </w:pPr>
      <w:r>
        <w:rPr>
          <w:rFonts w:hint="eastAsia"/>
          <w:color w:val="auto"/>
          <w:highlight w:val="none"/>
        </w:rPr>
        <w:t>2.</w:t>
      </w:r>
      <w:r>
        <w:rPr>
          <w:color w:val="auto"/>
          <w:highlight w:val="none"/>
        </w:rPr>
        <w:t>具有中国国家认证认可监督管理委员会颁发的认证机构批准证书，且证书内应涵盖环境管理体系、职业健康安全管理体系认证范围，需提供CNCA资格证书</w:t>
      </w:r>
      <w:r>
        <w:rPr>
          <w:rFonts w:hint="eastAsia"/>
          <w:color w:val="auto"/>
          <w:highlight w:val="none"/>
        </w:rPr>
        <w:t>，在有效期内；</w:t>
      </w:r>
    </w:p>
    <w:p w14:paraId="650A1982">
      <w:pPr>
        <w:pStyle w:val="25"/>
        <w:numPr>
          <w:ilvl w:val="255"/>
          <w:numId w:val="0"/>
        </w:numPr>
        <w:spacing w:line="360" w:lineRule="auto"/>
        <w:ind w:left="372" w:leftChars="177"/>
        <w:contextualSpacing/>
        <w:rPr>
          <w:color w:val="auto"/>
          <w:highlight w:val="none"/>
        </w:rPr>
      </w:pPr>
      <w:r>
        <w:rPr>
          <w:rFonts w:hint="eastAsia"/>
          <w:color w:val="auto"/>
          <w:highlight w:val="none"/>
        </w:rPr>
        <w:t>3.</w:t>
      </w:r>
      <w:r>
        <w:rPr>
          <w:color w:val="auto"/>
          <w:highlight w:val="none"/>
        </w:rPr>
        <w:t>具有</w:t>
      </w:r>
      <w:r>
        <w:rPr>
          <w:rFonts w:hint="eastAsia"/>
          <w:color w:val="auto"/>
          <w:highlight w:val="none"/>
        </w:rPr>
        <w:t>的职业健康安全管理体系、环境管理体系认可证书须具备IAF认可标识和CNAS或ANAB或UKAS认可标识资格及认证机构标识，需提供认可证书，在有效期内；</w:t>
      </w:r>
    </w:p>
    <w:p w14:paraId="329DA424">
      <w:pPr>
        <w:pStyle w:val="25"/>
        <w:numPr>
          <w:ilvl w:val="255"/>
          <w:numId w:val="0"/>
        </w:numPr>
        <w:spacing w:line="360" w:lineRule="auto"/>
        <w:ind w:left="372" w:leftChars="177"/>
        <w:contextualSpacing/>
        <w:rPr>
          <w:color w:val="auto"/>
          <w:highlight w:val="none"/>
        </w:rPr>
      </w:pPr>
      <w:r>
        <w:rPr>
          <w:rFonts w:hint="eastAsia"/>
          <w:color w:val="auto"/>
          <w:highlight w:val="none"/>
        </w:rPr>
        <w:t xml:space="preserve">4.具备颁发内审员证书的资格； </w:t>
      </w:r>
    </w:p>
    <w:p w14:paraId="2E0990A2">
      <w:pPr>
        <w:pStyle w:val="25"/>
        <w:numPr>
          <w:ilvl w:val="255"/>
          <w:numId w:val="0"/>
        </w:numPr>
        <w:spacing w:line="360" w:lineRule="auto"/>
        <w:ind w:left="372" w:leftChars="177"/>
        <w:contextualSpacing/>
        <w:rPr>
          <w:color w:val="auto"/>
          <w:highlight w:val="none"/>
        </w:rPr>
      </w:pPr>
      <w:r>
        <w:rPr>
          <w:rFonts w:hint="eastAsia"/>
          <w:color w:val="auto"/>
          <w:highlight w:val="none"/>
        </w:rPr>
        <w:t>5.</w:t>
      </w:r>
      <w:r>
        <w:rPr>
          <w:color w:val="auto"/>
          <w:highlight w:val="none"/>
        </w:rPr>
        <w:t>具有从事央国企提供咨询服务及进行认证服务工作经验</w:t>
      </w:r>
      <w:r>
        <w:rPr>
          <w:rFonts w:hint="eastAsia"/>
          <w:color w:val="auto"/>
          <w:highlight w:val="none"/>
        </w:rPr>
        <w:t>，近五年（2020年1月1日-至今）具有类似业绩（须提供合同复印件并加盖公章）；</w:t>
      </w:r>
    </w:p>
    <w:p w14:paraId="3D103D48">
      <w:pPr>
        <w:pStyle w:val="25"/>
        <w:numPr>
          <w:ilvl w:val="255"/>
          <w:numId w:val="0"/>
        </w:numPr>
        <w:spacing w:line="360" w:lineRule="auto"/>
        <w:ind w:left="372" w:leftChars="177"/>
        <w:contextualSpacing/>
        <w:rPr>
          <w:color w:val="auto"/>
          <w:highlight w:val="none"/>
        </w:rPr>
      </w:pPr>
      <w:r>
        <w:rPr>
          <w:rFonts w:hint="eastAsia"/>
          <w:color w:val="auto"/>
          <w:highlight w:val="none"/>
        </w:rPr>
        <w:t>6.在“信用中国”网站(www.creditchina.gov.cn)查询失信被执行人、税收违法黑名单，在“中国政府采购网 ”网站（http://www.ccgp.gov.cn/）查询政府采购严重违法失信行为记录名单，均未被列入“失信被执行人”名单并将查询结果截图加盖单位公章；</w:t>
      </w:r>
    </w:p>
    <w:p w14:paraId="0CD890BF">
      <w:pPr>
        <w:pStyle w:val="25"/>
        <w:numPr>
          <w:ilvl w:val="255"/>
          <w:numId w:val="0"/>
        </w:numPr>
        <w:spacing w:line="360" w:lineRule="auto"/>
        <w:ind w:left="372" w:leftChars="177"/>
        <w:contextualSpacing/>
        <w:rPr>
          <w:color w:val="auto"/>
          <w:highlight w:val="none"/>
        </w:rPr>
      </w:pPr>
      <w:r>
        <w:rPr>
          <w:rFonts w:hint="eastAsia"/>
          <w:color w:val="auto"/>
          <w:highlight w:val="none"/>
        </w:rPr>
        <w:t>7.仅限水务集团合格供应商库范围内（“津水云采”平台注册审核通过并购买且激活CA证书的供应商）；</w:t>
      </w:r>
    </w:p>
    <w:p w14:paraId="347D8263">
      <w:pPr>
        <w:pStyle w:val="25"/>
        <w:numPr>
          <w:ilvl w:val="255"/>
          <w:numId w:val="0"/>
        </w:numPr>
        <w:spacing w:before="0" w:beforeAutospacing="0" w:after="0" w:afterAutospacing="0" w:line="360" w:lineRule="auto"/>
        <w:ind w:left="372" w:leftChars="177"/>
        <w:contextualSpacing/>
        <w:rPr>
          <w:color w:val="auto"/>
          <w:highlight w:val="none"/>
        </w:rPr>
      </w:pPr>
      <w:r>
        <w:rPr>
          <w:rFonts w:hint="eastAsia"/>
          <w:color w:val="auto"/>
          <w:highlight w:val="none"/>
        </w:rPr>
        <w:t>8.本项目不允许联合体参与。</w:t>
      </w:r>
    </w:p>
    <w:bookmarkEnd w:id="0"/>
    <w:bookmarkEnd w:id="1"/>
    <w:p w14:paraId="08209235">
      <w:pPr>
        <w:pStyle w:val="25"/>
        <w:numPr>
          <w:ilvl w:val="0"/>
          <w:numId w:val="2"/>
        </w:numPr>
        <w:spacing w:before="0" w:beforeAutospacing="0" w:after="0" w:afterAutospacing="0" w:line="500" w:lineRule="exact"/>
        <w:contextualSpacing/>
        <w:jc w:val="both"/>
        <w:rPr>
          <w:color w:val="auto"/>
          <w:highlight w:val="none"/>
        </w:rPr>
      </w:pPr>
      <w:r>
        <w:rPr>
          <w:rFonts w:hint="eastAsia"/>
          <w:color w:val="auto"/>
          <w:highlight w:val="none"/>
        </w:rPr>
        <w:t>服务期：自合同签订之日起至2027年12月31日(以合同签订为准）。</w:t>
      </w:r>
      <w:r>
        <w:rPr>
          <w:color w:val="auto"/>
          <w:highlight w:val="none"/>
        </w:rPr>
        <w:t>2025年12月15日前获得国家认可的职业健康安全管理体系、环境管理体系认证证书，2026年12月14日之前完成第一次监督认证，2027年12月13日之前完成第二次监督认证。</w:t>
      </w:r>
    </w:p>
    <w:p w14:paraId="583F7C12">
      <w:pPr>
        <w:pStyle w:val="25"/>
        <w:numPr>
          <w:ilvl w:val="0"/>
          <w:numId w:val="2"/>
        </w:numPr>
        <w:spacing w:line="500" w:lineRule="exact"/>
        <w:ind w:left="0" w:firstLine="426" w:firstLineChars="177"/>
        <w:contextualSpacing/>
        <w:jc w:val="both"/>
        <w:rPr>
          <w:b/>
          <w:bCs/>
          <w:color w:val="auto"/>
          <w:highlight w:val="none"/>
        </w:rPr>
      </w:pPr>
      <w:r>
        <w:rPr>
          <w:rFonts w:hint="eastAsia"/>
          <w:b/>
          <w:bCs/>
          <w:color w:val="auto"/>
          <w:highlight w:val="none"/>
        </w:rPr>
        <w:t>项目控标价：总报价22万元。</w:t>
      </w:r>
    </w:p>
    <w:p w14:paraId="75453155">
      <w:pPr>
        <w:pStyle w:val="25"/>
        <w:numPr>
          <w:ilvl w:val="0"/>
          <w:numId w:val="2"/>
        </w:numPr>
        <w:spacing w:line="500" w:lineRule="exact"/>
        <w:ind w:left="0" w:firstLine="424" w:firstLineChars="177"/>
        <w:contextualSpacing/>
        <w:jc w:val="both"/>
        <w:rPr>
          <w:color w:val="auto"/>
          <w:highlight w:val="none"/>
        </w:rPr>
      </w:pPr>
      <w:r>
        <w:rPr>
          <w:rFonts w:hint="eastAsia"/>
          <w:color w:val="auto"/>
          <w:highlight w:val="none"/>
        </w:rPr>
        <w:t>付款方式：完成全部工作，并核实无误后，支付至合同价款的100%(以合同签订为准）。</w:t>
      </w:r>
    </w:p>
    <w:p w14:paraId="4588E184">
      <w:pPr>
        <w:pStyle w:val="25"/>
        <w:numPr>
          <w:ilvl w:val="0"/>
          <w:numId w:val="2"/>
        </w:numPr>
        <w:spacing w:line="500" w:lineRule="exact"/>
        <w:ind w:left="0" w:firstLine="424" w:firstLineChars="177"/>
        <w:contextualSpacing/>
        <w:jc w:val="both"/>
        <w:rPr>
          <w:color w:val="auto"/>
          <w:highlight w:val="none"/>
        </w:rPr>
      </w:pPr>
      <w:r>
        <w:rPr>
          <w:rFonts w:hint="eastAsia"/>
          <w:color w:val="auto"/>
          <w:highlight w:val="none"/>
        </w:rPr>
        <w:t>评审办法：</w:t>
      </w:r>
      <w:bookmarkStart w:id="2" w:name="OLE_LINK3"/>
      <w:r>
        <w:rPr>
          <w:rFonts w:hint="eastAsia"/>
          <w:color w:val="auto"/>
          <w:highlight w:val="none"/>
        </w:rPr>
        <w:t>综合评分法</w:t>
      </w:r>
      <w:bookmarkEnd w:id="2"/>
      <w:r>
        <w:rPr>
          <w:color w:val="auto"/>
          <w:highlight w:val="none"/>
        </w:rPr>
        <w:t>。</w:t>
      </w:r>
    </w:p>
    <w:p w14:paraId="00A0300D">
      <w:pPr>
        <w:pStyle w:val="25"/>
        <w:numPr>
          <w:ilvl w:val="0"/>
          <w:numId w:val="2"/>
        </w:numPr>
        <w:spacing w:line="500" w:lineRule="exact"/>
        <w:ind w:left="0" w:firstLine="424" w:firstLineChars="177"/>
        <w:contextualSpacing/>
        <w:jc w:val="both"/>
        <w:rPr>
          <w:bCs/>
          <w:color w:val="auto"/>
          <w:highlight w:val="none"/>
        </w:rPr>
      </w:pPr>
      <w:r>
        <w:rPr>
          <w:rFonts w:hint="eastAsia"/>
          <w:bCs/>
          <w:color w:val="auto"/>
          <w:highlight w:val="none"/>
        </w:rPr>
        <w:t>报价文件内容（格式自拟）：</w:t>
      </w:r>
    </w:p>
    <w:p w14:paraId="4BA0DDB3">
      <w:pPr>
        <w:pStyle w:val="25"/>
        <w:numPr>
          <w:ilvl w:val="0"/>
          <w:numId w:val="3"/>
        </w:numPr>
        <w:spacing w:line="500" w:lineRule="exact"/>
        <w:ind w:left="0" w:firstLine="420"/>
        <w:contextualSpacing/>
        <w:jc w:val="both"/>
        <w:rPr>
          <w:bCs/>
          <w:color w:val="auto"/>
          <w:highlight w:val="none"/>
        </w:rPr>
      </w:pPr>
      <w:r>
        <w:rPr>
          <w:rFonts w:hint="eastAsia"/>
          <w:bCs/>
          <w:color w:val="auto"/>
          <w:highlight w:val="none"/>
        </w:rPr>
        <w:t>报价单</w:t>
      </w:r>
    </w:p>
    <w:p w14:paraId="269696F7">
      <w:pPr>
        <w:pStyle w:val="25"/>
        <w:spacing w:line="500" w:lineRule="exact"/>
        <w:ind w:left="420" w:firstLine="480" w:firstLineChars="200"/>
        <w:contextualSpacing/>
        <w:jc w:val="both"/>
        <w:rPr>
          <w:bCs/>
          <w:color w:val="auto"/>
          <w:highlight w:val="none"/>
        </w:rPr>
      </w:pPr>
      <w:r>
        <w:rPr>
          <w:rFonts w:hint="eastAsia"/>
          <w:bCs/>
          <w:color w:val="auto"/>
          <w:highlight w:val="none"/>
        </w:rPr>
        <w:t>须按照需求内容报价，报价为含税价格。招采项目的项目服务费、工作人员差旅费及税费等费用，已包含在报价中，采购人不再额外支付费用。</w:t>
      </w:r>
    </w:p>
    <w:p w14:paraId="53507010">
      <w:pPr>
        <w:pStyle w:val="25"/>
        <w:numPr>
          <w:ilvl w:val="0"/>
          <w:numId w:val="3"/>
        </w:numPr>
        <w:spacing w:line="500" w:lineRule="exact"/>
        <w:ind w:left="0" w:firstLine="420"/>
        <w:contextualSpacing/>
        <w:jc w:val="both"/>
        <w:rPr>
          <w:bCs/>
          <w:color w:val="auto"/>
          <w:highlight w:val="none"/>
        </w:rPr>
      </w:pPr>
      <w:r>
        <w:rPr>
          <w:rFonts w:hint="eastAsia"/>
          <w:bCs/>
          <w:color w:val="auto"/>
          <w:highlight w:val="none"/>
        </w:rPr>
        <w:t>资格审查资料</w:t>
      </w:r>
    </w:p>
    <w:p w14:paraId="53D3F2B4">
      <w:pPr>
        <w:pStyle w:val="25"/>
        <w:numPr>
          <w:ilvl w:val="0"/>
          <w:numId w:val="4"/>
        </w:numPr>
        <w:spacing w:line="500" w:lineRule="exact"/>
        <w:ind w:left="0" w:firstLine="420"/>
        <w:contextualSpacing/>
        <w:jc w:val="both"/>
        <w:rPr>
          <w:bCs/>
          <w:color w:val="auto"/>
          <w:highlight w:val="none"/>
        </w:rPr>
      </w:pPr>
      <w:r>
        <w:rPr>
          <w:rFonts w:hint="eastAsia"/>
          <w:bCs/>
          <w:color w:val="auto"/>
          <w:highlight w:val="none"/>
        </w:rPr>
        <w:t>提供营业执照，</w:t>
      </w:r>
      <w:r>
        <w:rPr>
          <w:rFonts w:hint="eastAsia"/>
          <w:color w:val="auto"/>
          <w:highlight w:val="none"/>
        </w:rPr>
        <w:t>在有效期内</w:t>
      </w:r>
      <w:r>
        <w:rPr>
          <w:rFonts w:hint="eastAsia"/>
          <w:bCs/>
          <w:color w:val="auto"/>
          <w:highlight w:val="none"/>
        </w:rPr>
        <w:t>；</w:t>
      </w:r>
    </w:p>
    <w:p w14:paraId="2963BD29">
      <w:pPr>
        <w:pStyle w:val="25"/>
        <w:numPr>
          <w:ilvl w:val="0"/>
          <w:numId w:val="4"/>
        </w:numPr>
        <w:spacing w:line="500" w:lineRule="exact"/>
        <w:ind w:left="0" w:firstLine="420"/>
        <w:contextualSpacing/>
        <w:jc w:val="both"/>
        <w:rPr>
          <w:bCs/>
          <w:color w:val="auto"/>
          <w:highlight w:val="none"/>
        </w:rPr>
      </w:pPr>
      <w:r>
        <w:rPr>
          <w:rFonts w:hint="eastAsia"/>
          <w:bCs/>
          <w:color w:val="auto"/>
          <w:highlight w:val="none"/>
        </w:rPr>
        <w:t>提供CNCA认证机构批准证书，</w:t>
      </w:r>
      <w:r>
        <w:rPr>
          <w:rFonts w:hint="eastAsia"/>
          <w:color w:val="auto"/>
          <w:highlight w:val="none"/>
        </w:rPr>
        <w:t>在有效期内</w:t>
      </w:r>
      <w:r>
        <w:rPr>
          <w:rFonts w:hint="eastAsia"/>
          <w:bCs/>
          <w:color w:val="auto"/>
          <w:highlight w:val="none"/>
        </w:rPr>
        <w:t>；</w:t>
      </w:r>
    </w:p>
    <w:p w14:paraId="0B269DCF">
      <w:pPr>
        <w:pStyle w:val="25"/>
        <w:numPr>
          <w:ilvl w:val="0"/>
          <w:numId w:val="4"/>
        </w:numPr>
        <w:spacing w:line="500" w:lineRule="exact"/>
        <w:ind w:left="0" w:firstLine="420"/>
        <w:contextualSpacing/>
        <w:jc w:val="both"/>
        <w:rPr>
          <w:bCs/>
          <w:color w:val="auto"/>
          <w:highlight w:val="none"/>
        </w:rPr>
      </w:pPr>
      <w:r>
        <w:rPr>
          <w:rFonts w:hint="eastAsia"/>
          <w:color w:val="auto"/>
          <w:highlight w:val="none"/>
        </w:rPr>
        <w:t>提供中国合格评定国家认可委员会管理体系认证机构认可证书，在有效期内；</w:t>
      </w:r>
    </w:p>
    <w:p w14:paraId="72B6D925">
      <w:pPr>
        <w:pStyle w:val="25"/>
        <w:numPr>
          <w:ilvl w:val="0"/>
          <w:numId w:val="4"/>
        </w:numPr>
        <w:spacing w:line="500" w:lineRule="exact"/>
        <w:ind w:left="0" w:firstLine="420"/>
        <w:contextualSpacing/>
        <w:jc w:val="both"/>
        <w:rPr>
          <w:bCs/>
          <w:color w:val="auto"/>
          <w:highlight w:val="none"/>
        </w:rPr>
      </w:pPr>
      <w:r>
        <w:rPr>
          <w:rFonts w:hint="eastAsia"/>
          <w:color w:val="auto"/>
          <w:highlight w:val="none"/>
        </w:rPr>
        <w:t>具备颁发内审员证书的资格；</w:t>
      </w:r>
    </w:p>
    <w:p w14:paraId="66F276A9">
      <w:pPr>
        <w:pStyle w:val="25"/>
        <w:numPr>
          <w:ilvl w:val="0"/>
          <w:numId w:val="4"/>
        </w:numPr>
        <w:spacing w:line="500" w:lineRule="exact"/>
        <w:ind w:left="0" w:firstLine="420"/>
        <w:contextualSpacing/>
        <w:jc w:val="both"/>
        <w:rPr>
          <w:bCs/>
          <w:color w:val="auto"/>
          <w:highlight w:val="none"/>
        </w:rPr>
      </w:pPr>
      <w:r>
        <w:rPr>
          <w:rFonts w:hint="eastAsia"/>
          <w:color w:val="auto"/>
          <w:highlight w:val="none"/>
        </w:rPr>
        <w:t>近五年（2020年1月1日-至今）具有类似业绩；</w:t>
      </w:r>
    </w:p>
    <w:p w14:paraId="33A2BD99">
      <w:pPr>
        <w:pStyle w:val="25"/>
        <w:numPr>
          <w:ilvl w:val="0"/>
          <w:numId w:val="4"/>
        </w:numPr>
        <w:spacing w:line="500" w:lineRule="exact"/>
        <w:ind w:left="0" w:firstLine="420"/>
        <w:contextualSpacing/>
        <w:jc w:val="both"/>
        <w:rPr>
          <w:bCs/>
          <w:color w:val="auto"/>
          <w:highlight w:val="none"/>
        </w:rPr>
      </w:pPr>
      <w:r>
        <w:rPr>
          <w:rFonts w:hint="eastAsia"/>
          <w:bCs/>
          <w:color w:val="auto"/>
          <w:highlight w:val="none"/>
        </w:rPr>
        <w:t>询价期内的“信用中国”网站</w:t>
      </w:r>
      <w:r>
        <w:rPr>
          <w:bCs/>
          <w:color w:val="auto"/>
          <w:highlight w:val="none"/>
        </w:rPr>
        <w:t>(www.creditchina.gov.cn)查询失信被执行人、税收违法黑名单</w:t>
      </w:r>
      <w:r>
        <w:rPr>
          <w:rFonts w:hint="eastAsia"/>
          <w:bCs/>
          <w:color w:val="auto"/>
          <w:highlight w:val="none"/>
        </w:rPr>
        <w:t>截图；</w:t>
      </w:r>
    </w:p>
    <w:p w14:paraId="48925D60">
      <w:pPr>
        <w:pStyle w:val="25"/>
        <w:numPr>
          <w:ilvl w:val="0"/>
          <w:numId w:val="4"/>
        </w:numPr>
        <w:spacing w:line="500" w:lineRule="exact"/>
        <w:ind w:left="0" w:firstLine="420"/>
        <w:contextualSpacing/>
        <w:jc w:val="both"/>
        <w:rPr>
          <w:color w:val="auto"/>
          <w:highlight w:val="none"/>
        </w:rPr>
      </w:pPr>
      <w:r>
        <w:rPr>
          <w:rFonts w:hint="eastAsia"/>
          <w:bCs/>
          <w:color w:val="auto"/>
          <w:highlight w:val="none"/>
        </w:rPr>
        <w:t>询价期内的</w:t>
      </w:r>
      <w:r>
        <w:rPr>
          <w:bCs/>
          <w:color w:val="auto"/>
          <w:highlight w:val="none"/>
        </w:rPr>
        <w:t>“中国政府采购网”网站（http://www.ccgp.gov.cn/）查询政府采购严重违法失信行为记录名单</w:t>
      </w:r>
      <w:r>
        <w:rPr>
          <w:rFonts w:hint="eastAsia"/>
          <w:bCs/>
          <w:color w:val="auto"/>
          <w:highlight w:val="none"/>
        </w:rPr>
        <w:t>截图；</w:t>
      </w:r>
    </w:p>
    <w:p w14:paraId="6394545D">
      <w:pPr>
        <w:pStyle w:val="25"/>
        <w:numPr>
          <w:ilvl w:val="0"/>
          <w:numId w:val="4"/>
        </w:numPr>
        <w:spacing w:line="500" w:lineRule="exact"/>
        <w:ind w:left="0" w:firstLine="420"/>
        <w:contextualSpacing/>
        <w:jc w:val="both"/>
        <w:rPr>
          <w:bCs/>
          <w:color w:val="auto"/>
          <w:highlight w:val="none"/>
        </w:rPr>
      </w:pPr>
      <w:r>
        <w:rPr>
          <w:rFonts w:hint="eastAsia"/>
          <w:bCs/>
          <w:color w:val="auto"/>
          <w:highlight w:val="none"/>
        </w:rPr>
        <w:t>授权委托书；</w:t>
      </w:r>
    </w:p>
    <w:p w14:paraId="274EF1CF">
      <w:pPr>
        <w:pStyle w:val="25"/>
        <w:numPr>
          <w:ilvl w:val="0"/>
          <w:numId w:val="4"/>
        </w:numPr>
        <w:spacing w:line="500" w:lineRule="exact"/>
        <w:ind w:left="0" w:firstLine="420"/>
        <w:contextualSpacing/>
        <w:jc w:val="both"/>
        <w:rPr>
          <w:bCs/>
          <w:color w:val="auto"/>
          <w:highlight w:val="none"/>
        </w:rPr>
      </w:pPr>
      <w:r>
        <w:rPr>
          <w:rFonts w:hint="eastAsia"/>
          <w:color w:val="auto"/>
          <w:highlight w:val="none"/>
        </w:rPr>
        <w:t>非联合体投标承诺书。</w:t>
      </w:r>
    </w:p>
    <w:p w14:paraId="51AAAC38">
      <w:pPr>
        <w:pStyle w:val="25"/>
        <w:numPr>
          <w:ilvl w:val="0"/>
          <w:numId w:val="2"/>
        </w:numPr>
        <w:spacing w:line="500" w:lineRule="exact"/>
        <w:ind w:left="0" w:firstLine="424" w:firstLineChars="177"/>
        <w:contextualSpacing/>
        <w:jc w:val="both"/>
        <w:rPr>
          <w:bCs/>
          <w:color w:val="auto"/>
          <w:highlight w:val="none"/>
        </w:rPr>
      </w:pPr>
      <w:r>
        <w:rPr>
          <w:rFonts w:hint="eastAsia"/>
          <w:bCs/>
          <w:color w:val="auto"/>
          <w:highlight w:val="none"/>
        </w:rPr>
        <w:t>报价要求</w:t>
      </w:r>
    </w:p>
    <w:p w14:paraId="44C5EA24">
      <w:pPr>
        <w:pStyle w:val="25"/>
        <w:numPr>
          <w:ilvl w:val="0"/>
          <w:numId w:val="5"/>
        </w:numPr>
        <w:spacing w:line="500" w:lineRule="exact"/>
        <w:ind w:left="0" w:firstLine="420"/>
        <w:contextualSpacing/>
        <w:jc w:val="both"/>
        <w:rPr>
          <w:bCs/>
          <w:color w:val="auto"/>
          <w:highlight w:val="none"/>
        </w:rPr>
      </w:pPr>
      <w:r>
        <w:rPr>
          <w:rFonts w:hint="eastAsia"/>
          <w:bCs/>
          <w:color w:val="auto"/>
          <w:highlight w:val="none"/>
        </w:rPr>
        <w:t>参与报价供应商请登录“津水云采”平台http://www.jinshuiyuncai.com。此次报价为线上报价，报价文件均需加盖公章，按照报价文件内容要求上传报价；一次性报出最具竞争力的价格，提供分项报价并合计总价，所报价格为到货含税价。所报价格应包括本项目全部费用。</w:t>
      </w:r>
    </w:p>
    <w:p w14:paraId="55302EAB">
      <w:pPr>
        <w:pStyle w:val="25"/>
        <w:numPr>
          <w:ilvl w:val="0"/>
          <w:numId w:val="5"/>
        </w:numPr>
        <w:spacing w:line="500" w:lineRule="exact"/>
        <w:ind w:left="0" w:firstLine="420"/>
        <w:contextualSpacing/>
        <w:jc w:val="both"/>
        <w:rPr>
          <w:bCs/>
          <w:color w:val="auto"/>
          <w:highlight w:val="none"/>
        </w:rPr>
      </w:pPr>
      <w:r>
        <w:rPr>
          <w:rFonts w:hint="eastAsia"/>
          <w:bCs/>
          <w:color w:val="auto"/>
          <w:highlight w:val="none"/>
        </w:rPr>
        <w:t>按照报价格式要求将报价文件扫描成PDF的形式，上传报价文件扫描件（盖章）。</w:t>
      </w:r>
    </w:p>
    <w:p w14:paraId="763735D4">
      <w:pPr>
        <w:pStyle w:val="25"/>
        <w:numPr>
          <w:ilvl w:val="0"/>
          <w:numId w:val="5"/>
        </w:numPr>
        <w:spacing w:line="500" w:lineRule="exact"/>
        <w:ind w:left="0" w:firstLine="420"/>
        <w:contextualSpacing/>
        <w:jc w:val="both"/>
        <w:rPr>
          <w:bCs/>
          <w:color w:val="auto"/>
          <w:highlight w:val="none"/>
        </w:rPr>
      </w:pPr>
      <w:r>
        <w:rPr>
          <w:rFonts w:hint="eastAsia"/>
          <w:bCs/>
          <w:color w:val="auto"/>
          <w:highlight w:val="none"/>
        </w:rPr>
        <w:t>报价文件需编制目录并标注页码。</w:t>
      </w:r>
    </w:p>
    <w:p w14:paraId="5BCD575B">
      <w:pPr>
        <w:pStyle w:val="25"/>
        <w:numPr>
          <w:ilvl w:val="0"/>
          <w:numId w:val="5"/>
        </w:numPr>
        <w:spacing w:line="500" w:lineRule="exact"/>
        <w:ind w:left="0" w:firstLine="420"/>
        <w:contextualSpacing/>
        <w:jc w:val="both"/>
        <w:rPr>
          <w:bCs/>
          <w:color w:val="auto"/>
          <w:highlight w:val="none"/>
        </w:rPr>
      </w:pPr>
      <w:r>
        <w:rPr>
          <w:rFonts w:hint="eastAsia"/>
          <w:bCs/>
          <w:color w:val="auto"/>
          <w:highlight w:val="none"/>
        </w:rPr>
        <w:t>报价文件应严格按照询价公告及询价文件要求提报资料,资料不齐或未上传电子版文件视为无效报价将被否决。</w:t>
      </w:r>
    </w:p>
    <w:p w14:paraId="113FAA0D">
      <w:pPr>
        <w:pStyle w:val="25"/>
        <w:spacing w:line="500" w:lineRule="exact"/>
        <w:ind w:firstLine="316" w:firstLineChars="175"/>
        <w:contextualSpacing/>
        <w:jc w:val="both"/>
        <w:rPr>
          <w:b/>
          <w:color w:val="auto"/>
          <w:sz w:val="18"/>
          <w:szCs w:val="18"/>
          <w:highlight w:val="none"/>
        </w:rPr>
      </w:pPr>
      <w:r>
        <w:rPr>
          <w:rFonts w:hint="eastAsia"/>
          <w:b/>
          <w:color w:val="auto"/>
          <w:sz w:val="18"/>
          <w:szCs w:val="18"/>
          <w:highlight w:val="none"/>
        </w:rPr>
        <w:t>注：请报价人认真阅读询价文件要求，任意一项的不响应将导致投标被否决。如有格式要求的，请按照格式提供，如未提供格式的，请报价人自拟，包含但不限于格式中内容。</w:t>
      </w:r>
    </w:p>
    <w:p w14:paraId="6330590C">
      <w:pPr>
        <w:pStyle w:val="25"/>
        <w:numPr>
          <w:ilvl w:val="0"/>
          <w:numId w:val="2"/>
        </w:numPr>
        <w:spacing w:line="500" w:lineRule="exact"/>
        <w:ind w:left="0" w:firstLine="424" w:firstLineChars="177"/>
        <w:contextualSpacing/>
        <w:jc w:val="both"/>
        <w:rPr>
          <w:color w:val="auto"/>
          <w:highlight w:val="none"/>
        </w:rPr>
      </w:pPr>
      <w:r>
        <w:rPr>
          <w:rFonts w:hint="eastAsia"/>
          <w:color w:val="auto"/>
          <w:highlight w:val="none"/>
        </w:rPr>
        <w:t>报价文件的提交</w:t>
      </w:r>
    </w:p>
    <w:p w14:paraId="48AD29DB">
      <w:pPr>
        <w:pStyle w:val="25"/>
        <w:numPr>
          <w:ilvl w:val="0"/>
          <w:numId w:val="6"/>
        </w:numPr>
        <w:spacing w:line="500" w:lineRule="exact"/>
        <w:ind w:left="0" w:firstLine="420" w:firstLineChars="175"/>
        <w:contextualSpacing/>
        <w:jc w:val="both"/>
        <w:rPr>
          <w:color w:val="auto"/>
          <w:highlight w:val="none"/>
        </w:rPr>
      </w:pPr>
      <w:r>
        <w:rPr>
          <w:rFonts w:hint="eastAsia"/>
          <w:color w:val="auto"/>
          <w:highlight w:val="none"/>
        </w:rPr>
        <w:t>报价文件提交的截止时间：2025年</w:t>
      </w:r>
      <w:r>
        <w:rPr>
          <w:rFonts w:hint="eastAsia"/>
          <w:color w:val="auto"/>
          <w:highlight w:val="none"/>
          <w:lang w:val="en-US" w:eastAsia="zh-CN"/>
        </w:rPr>
        <w:t>6</w:t>
      </w:r>
      <w:r>
        <w:rPr>
          <w:rFonts w:hint="eastAsia"/>
          <w:color w:val="auto"/>
          <w:highlight w:val="none"/>
        </w:rPr>
        <w:t>月</w:t>
      </w:r>
      <w:r>
        <w:rPr>
          <w:rFonts w:hint="eastAsia"/>
          <w:color w:val="auto"/>
          <w:highlight w:val="none"/>
          <w:lang w:val="en-US" w:eastAsia="zh-CN"/>
        </w:rPr>
        <w:t>19</w:t>
      </w:r>
      <w:r>
        <w:rPr>
          <w:rFonts w:hint="eastAsia"/>
          <w:color w:val="auto"/>
          <w:highlight w:val="none"/>
        </w:rPr>
        <w:t>日1</w:t>
      </w:r>
      <w:r>
        <w:rPr>
          <w:rFonts w:hint="eastAsia"/>
          <w:color w:val="auto"/>
          <w:highlight w:val="none"/>
          <w:lang w:val="en-US" w:eastAsia="zh-CN"/>
        </w:rPr>
        <w:t>7</w:t>
      </w:r>
      <w:r>
        <w:rPr>
          <w:rFonts w:hint="eastAsia"/>
          <w:color w:val="auto"/>
          <w:highlight w:val="none"/>
        </w:rPr>
        <w:t>:00。</w:t>
      </w:r>
    </w:p>
    <w:p w14:paraId="5DDD8C10">
      <w:pPr>
        <w:pStyle w:val="25"/>
        <w:numPr>
          <w:ilvl w:val="0"/>
          <w:numId w:val="6"/>
        </w:numPr>
        <w:spacing w:line="500" w:lineRule="exact"/>
        <w:ind w:left="0" w:firstLine="420" w:firstLineChars="175"/>
        <w:contextualSpacing/>
        <w:jc w:val="both"/>
        <w:rPr>
          <w:color w:val="auto"/>
          <w:highlight w:val="none"/>
        </w:rPr>
      </w:pPr>
      <w:r>
        <w:rPr>
          <w:rFonts w:hint="eastAsia"/>
          <w:color w:val="auto"/>
          <w:highlight w:val="none"/>
        </w:rPr>
        <w:t>报价文件递交方式：报价文件加盖公章并上传“津水云采”平台。</w:t>
      </w:r>
    </w:p>
    <w:p w14:paraId="59CBAB2B">
      <w:pPr>
        <w:pStyle w:val="25"/>
        <w:numPr>
          <w:ilvl w:val="0"/>
          <w:numId w:val="6"/>
        </w:numPr>
        <w:spacing w:before="0" w:beforeAutospacing="0" w:after="0" w:afterAutospacing="0" w:line="500" w:lineRule="exact"/>
        <w:ind w:left="0" w:firstLine="420" w:firstLineChars="175"/>
        <w:contextualSpacing/>
        <w:jc w:val="both"/>
        <w:rPr>
          <w:color w:val="auto"/>
          <w:highlight w:val="none"/>
        </w:rPr>
      </w:pPr>
      <w:r>
        <w:rPr>
          <w:rFonts w:hint="eastAsia"/>
          <w:color w:val="auto"/>
          <w:highlight w:val="none"/>
        </w:rPr>
        <w:t>开标地点：线上开标，不举行现场开标仪式。</w:t>
      </w:r>
      <w:bookmarkStart w:id="3" w:name="_GoBack"/>
      <w:bookmarkEnd w:id="3"/>
    </w:p>
    <w:p w14:paraId="406DB6BB">
      <w:pPr>
        <w:pStyle w:val="25"/>
        <w:numPr>
          <w:ilvl w:val="255"/>
          <w:numId w:val="0"/>
        </w:numPr>
        <w:spacing w:before="0" w:beforeAutospacing="0" w:after="0" w:afterAutospacing="0" w:line="500" w:lineRule="exact"/>
        <w:ind w:left="368" w:leftChars="175"/>
        <w:contextualSpacing/>
        <w:jc w:val="both"/>
        <w:rPr>
          <w:color w:val="auto"/>
          <w:highlight w:val="none"/>
        </w:rPr>
      </w:pPr>
    </w:p>
    <w:p w14:paraId="7AD1A79B">
      <w:pPr>
        <w:pStyle w:val="25"/>
        <w:numPr>
          <w:ilvl w:val="255"/>
          <w:numId w:val="0"/>
        </w:numPr>
        <w:spacing w:before="0" w:beforeAutospacing="0" w:after="0" w:afterAutospacing="0" w:line="500" w:lineRule="exact"/>
        <w:ind w:left="368" w:leftChars="175"/>
        <w:contextualSpacing/>
        <w:jc w:val="both"/>
        <w:rPr>
          <w:color w:val="auto"/>
          <w:highlight w:val="none"/>
        </w:rPr>
      </w:pPr>
    </w:p>
    <w:p w14:paraId="73A1F026">
      <w:pPr>
        <w:pStyle w:val="25"/>
        <w:numPr>
          <w:ilvl w:val="255"/>
          <w:numId w:val="0"/>
        </w:numPr>
        <w:spacing w:before="0" w:beforeAutospacing="0" w:after="0" w:afterAutospacing="0" w:line="500" w:lineRule="exact"/>
        <w:ind w:left="368" w:leftChars="175"/>
        <w:contextualSpacing/>
        <w:jc w:val="both"/>
        <w:rPr>
          <w:color w:val="auto"/>
          <w:highlight w:val="none"/>
        </w:rPr>
      </w:pPr>
    </w:p>
    <w:p w14:paraId="1C82E63D">
      <w:pPr>
        <w:snapToGrid w:val="0"/>
        <w:spacing w:line="360" w:lineRule="auto"/>
        <w:jc w:val="left"/>
        <w:rPr>
          <w:rFonts w:eastAsia="黑体"/>
          <w:b/>
          <w:bCs/>
          <w:color w:val="auto"/>
          <w:sz w:val="30"/>
          <w:szCs w:val="30"/>
          <w:highlight w:val="none"/>
        </w:rPr>
      </w:pPr>
    </w:p>
    <w:p w14:paraId="632F50CB">
      <w:pPr>
        <w:snapToGrid w:val="0"/>
        <w:spacing w:line="360" w:lineRule="auto"/>
        <w:jc w:val="left"/>
        <w:rPr>
          <w:rFonts w:eastAsia="黑体"/>
          <w:b/>
          <w:bCs/>
          <w:color w:val="auto"/>
          <w:sz w:val="30"/>
          <w:szCs w:val="30"/>
          <w:highlight w:val="none"/>
        </w:rPr>
      </w:pPr>
    </w:p>
    <w:p w14:paraId="6E03C557">
      <w:pPr>
        <w:snapToGrid w:val="0"/>
        <w:spacing w:line="360" w:lineRule="auto"/>
        <w:jc w:val="left"/>
        <w:rPr>
          <w:rFonts w:eastAsia="黑体"/>
          <w:b/>
          <w:bCs/>
          <w:color w:val="auto"/>
          <w:sz w:val="30"/>
          <w:szCs w:val="30"/>
          <w:highlight w:val="none"/>
        </w:rPr>
      </w:pPr>
    </w:p>
    <w:p w14:paraId="313922B7">
      <w:pPr>
        <w:snapToGrid w:val="0"/>
        <w:spacing w:line="360" w:lineRule="auto"/>
        <w:jc w:val="left"/>
        <w:rPr>
          <w:rFonts w:eastAsia="黑体"/>
          <w:b/>
          <w:bCs/>
          <w:color w:val="auto"/>
          <w:sz w:val="30"/>
          <w:szCs w:val="30"/>
          <w:highlight w:val="none"/>
        </w:rPr>
      </w:pPr>
    </w:p>
    <w:p w14:paraId="20017F51">
      <w:pPr>
        <w:snapToGrid w:val="0"/>
        <w:spacing w:line="360" w:lineRule="auto"/>
        <w:jc w:val="left"/>
        <w:rPr>
          <w:rFonts w:eastAsia="黑体"/>
          <w:b/>
          <w:bCs/>
          <w:color w:val="auto"/>
          <w:sz w:val="30"/>
          <w:szCs w:val="30"/>
          <w:highlight w:val="none"/>
        </w:rPr>
      </w:pPr>
    </w:p>
    <w:p w14:paraId="62CE98E7">
      <w:pPr>
        <w:snapToGrid w:val="0"/>
        <w:spacing w:line="360" w:lineRule="auto"/>
        <w:jc w:val="left"/>
        <w:rPr>
          <w:rFonts w:eastAsia="黑体"/>
          <w:b/>
          <w:bCs/>
          <w:color w:val="auto"/>
          <w:sz w:val="30"/>
          <w:szCs w:val="30"/>
          <w:highlight w:val="none"/>
        </w:rPr>
      </w:pPr>
    </w:p>
    <w:p w14:paraId="73E0769A">
      <w:pPr>
        <w:snapToGrid w:val="0"/>
        <w:spacing w:line="360" w:lineRule="auto"/>
        <w:jc w:val="left"/>
        <w:rPr>
          <w:rFonts w:eastAsia="黑体"/>
          <w:b/>
          <w:bCs/>
          <w:color w:val="auto"/>
          <w:sz w:val="30"/>
          <w:szCs w:val="30"/>
          <w:highlight w:val="none"/>
        </w:rPr>
      </w:pPr>
    </w:p>
    <w:p w14:paraId="1DAC88D1">
      <w:pPr>
        <w:snapToGrid w:val="0"/>
        <w:spacing w:line="360" w:lineRule="auto"/>
        <w:jc w:val="left"/>
        <w:rPr>
          <w:rFonts w:eastAsia="黑体"/>
          <w:b/>
          <w:bCs/>
          <w:color w:val="auto"/>
          <w:sz w:val="30"/>
          <w:szCs w:val="30"/>
          <w:highlight w:val="none"/>
        </w:rPr>
      </w:pPr>
    </w:p>
    <w:p w14:paraId="557BBF48">
      <w:pPr>
        <w:snapToGrid w:val="0"/>
        <w:spacing w:line="360" w:lineRule="auto"/>
        <w:jc w:val="left"/>
        <w:rPr>
          <w:rFonts w:eastAsia="黑体"/>
          <w:b/>
          <w:bCs/>
          <w:color w:val="auto"/>
          <w:sz w:val="30"/>
          <w:szCs w:val="30"/>
          <w:highlight w:val="none"/>
        </w:rPr>
      </w:pPr>
      <w:r>
        <w:rPr>
          <w:rFonts w:hint="eastAsia" w:eastAsia="黑体"/>
          <w:b/>
          <w:bCs/>
          <w:color w:val="auto"/>
          <w:sz w:val="30"/>
          <w:szCs w:val="30"/>
          <w:highlight w:val="none"/>
        </w:rPr>
        <w:t>附件1：</w:t>
      </w:r>
    </w:p>
    <w:p w14:paraId="1E175819">
      <w:pPr>
        <w:snapToGrid w:val="0"/>
        <w:spacing w:line="360" w:lineRule="auto"/>
        <w:jc w:val="center"/>
        <w:rPr>
          <w:rFonts w:eastAsia="黑体"/>
          <w:b/>
          <w:bCs/>
          <w:color w:val="auto"/>
          <w:sz w:val="30"/>
          <w:szCs w:val="30"/>
          <w:highlight w:val="none"/>
        </w:rPr>
      </w:pPr>
      <w:r>
        <w:rPr>
          <w:rFonts w:eastAsia="黑体"/>
          <w:b/>
          <w:bCs/>
          <w:color w:val="auto"/>
          <w:sz w:val="30"/>
          <w:szCs w:val="30"/>
          <w:highlight w:val="none"/>
        </w:rPr>
        <w:t>评</w:t>
      </w:r>
      <w:r>
        <w:rPr>
          <w:rFonts w:hint="eastAsia" w:eastAsia="黑体"/>
          <w:b/>
          <w:bCs/>
          <w:color w:val="auto"/>
          <w:sz w:val="30"/>
          <w:szCs w:val="30"/>
          <w:highlight w:val="none"/>
        </w:rPr>
        <w:t>审标准</w:t>
      </w:r>
      <w:r>
        <w:rPr>
          <w:rFonts w:eastAsia="黑体"/>
          <w:b/>
          <w:bCs/>
          <w:color w:val="auto"/>
          <w:sz w:val="30"/>
          <w:szCs w:val="30"/>
          <w:highlight w:val="none"/>
        </w:rPr>
        <w:t>表</w:t>
      </w:r>
    </w:p>
    <w:p w14:paraId="32D407E1">
      <w:pPr>
        <w:widowControl/>
        <w:spacing w:before="100" w:beforeAutospacing="1" w:after="100" w:afterAutospacing="1" w:line="360" w:lineRule="auto"/>
        <w:ind w:firstLine="480" w:firstLineChars="200"/>
        <w:contextualSpacing/>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项目采用综合评审法，通过资格审查的供应商的响应文件，按如下标准评审，所有评委对技术服务方案得分的算术平均值为该投标人的技术得分。经核对无误后，评标委员会全体成员签字确认。再将技术服务方案得分与商务得分、资信得分相加即为该投标人的总得分，总得分保留小数点后两位，小数点后保留值按四舍五入方式取舍。</w:t>
      </w:r>
    </w:p>
    <w:p w14:paraId="65EE85A2">
      <w:pPr>
        <w:widowControl/>
        <w:spacing w:before="100" w:beforeAutospacing="1" w:after="100" w:afterAutospacing="1" w:line="360" w:lineRule="auto"/>
        <w:ind w:firstLine="480" w:firstLineChars="200"/>
        <w:contextualSpacing/>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评标委员会根据供应商总得分由高到低的顺序推荐前三名作为成交候选人，采购人根据评标委员会提出的书面评标报告和推荐的前三名成交候选人顺序确定成交人。获得最高分的供应商为成交供应商。当获得最高分的成交供应商放弃中标、因不可抗力提出不能履行合同，或者询价函规定应当提交履约担保而在规定的期限内未能提交的，采购人可以确定排名第二的成交候选人为成交人。</w:t>
      </w:r>
    </w:p>
    <w:p w14:paraId="45B13368">
      <w:pPr>
        <w:widowControl/>
        <w:spacing w:before="100" w:beforeAutospacing="1" w:after="100" w:afterAutospacing="1" w:line="360" w:lineRule="auto"/>
        <w:ind w:firstLine="480" w:firstLineChars="200"/>
        <w:contextualSpacing/>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排名第二的成交候选人因前款规定的同样原因不能签订合同的，采购人可以确定排名第三的成交候选人为成交人。</w:t>
      </w:r>
    </w:p>
    <w:p w14:paraId="259BFEE9">
      <w:pPr>
        <w:widowControl/>
        <w:spacing w:before="100" w:beforeAutospacing="1" w:after="100" w:afterAutospacing="1" w:line="360" w:lineRule="auto"/>
        <w:ind w:firstLine="480" w:firstLineChars="200"/>
        <w:contextualSpacing/>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当出现两个或两个以上供应商获得同等最高得分时，由评标委员会以不记名投票多少的方式确定成交候选人排序。</w:t>
      </w:r>
    </w:p>
    <w:tbl>
      <w:tblPr>
        <w:tblStyle w:val="18"/>
        <w:tblW w:w="5000" w:type="pct"/>
        <w:tblCellSpacing w:w="0" w:type="dxa"/>
        <w:tblInd w:w="-18"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2"/>
        <w:gridCol w:w="1787"/>
        <w:gridCol w:w="605"/>
        <w:gridCol w:w="4748"/>
        <w:gridCol w:w="674"/>
      </w:tblGrid>
      <w:tr w14:paraId="374C77A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5" w:hRule="atLeast"/>
          <w:tblCellSpacing w:w="0" w:type="dxa"/>
        </w:trPr>
        <w:tc>
          <w:tcPr>
            <w:tcW w:w="296" w:type="pct"/>
            <w:shd w:val="clear" w:color="auto" w:fill="DCDCDC"/>
            <w:vAlign w:val="center"/>
          </w:tcPr>
          <w:p w14:paraId="55C4193C">
            <w:pPr>
              <w:widowControl/>
              <w:jc w:val="center"/>
              <w:rPr>
                <w:rFonts w:ascii="宋体" w:hAnsi="等线" w:eastAsia="宋体" w:cs="等线"/>
                <w:color w:val="auto"/>
                <w:highlight w:val="none"/>
              </w:rPr>
            </w:pPr>
            <w:r>
              <w:rPr>
                <w:rFonts w:hint="eastAsia" w:ascii="宋体" w:hAnsi="宋体" w:eastAsia="宋体" w:cs="宋体"/>
                <w:color w:val="auto"/>
                <w:kern w:val="0"/>
                <w:sz w:val="24"/>
                <w:szCs w:val="24"/>
                <w:highlight w:val="none"/>
                <w:lang w:bidi="ar"/>
              </w:rPr>
              <w:t>序号</w:t>
            </w:r>
          </w:p>
        </w:tc>
        <w:tc>
          <w:tcPr>
            <w:tcW w:w="1075" w:type="pct"/>
            <w:shd w:val="clear" w:color="auto" w:fill="DCDCDC"/>
            <w:vAlign w:val="center"/>
          </w:tcPr>
          <w:p w14:paraId="356F12FA">
            <w:pPr>
              <w:widowControl/>
              <w:jc w:val="center"/>
              <w:rPr>
                <w:rFonts w:ascii="宋体" w:hAnsi="等线" w:eastAsia="宋体" w:cs="等线"/>
                <w:color w:val="auto"/>
                <w:highlight w:val="none"/>
              </w:rPr>
            </w:pPr>
            <w:r>
              <w:rPr>
                <w:rFonts w:hint="eastAsia" w:ascii="宋体" w:hAnsi="宋体" w:eastAsia="宋体" w:cs="宋体"/>
                <w:color w:val="auto"/>
                <w:kern w:val="0"/>
                <w:sz w:val="24"/>
                <w:szCs w:val="24"/>
                <w:highlight w:val="none"/>
                <w:lang w:bidi="ar"/>
              </w:rPr>
              <w:t>评审项目</w:t>
            </w:r>
          </w:p>
        </w:tc>
        <w:tc>
          <w:tcPr>
            <w:tcW w:w="364" w:type="pct"/>
            <w:shd w:val="clear" w:color="auto" w:fill="DCDCDC"/>
            <w:vAlign w:val="center"/>
          </w:tcPr>
          <w:p w14:paraId="70AF18D7">
            <w:pPr>
              <w:widowControl/>
              <w:jc w:val="center"/>
              <w:rPr>
                <w:rFonts w:ascii="宋体" w:hAnsi="等线" w:eastAsia="宋体" w:cs="等线"/>
                <w:color w:val="auto"/>
                <w:highlight w:val="none"/>
              </w:rPr>
            </w:pPr>
            <w:r>
              <w:rPr>
                <w:rFonts w:hint="eastAsia" w:ascii="宋体" w:hAnsi="宋体" w:eastAsia="宋体" w:cs="宋体"/>
                <w:color w:val="auto"/>
                <w:kern w:val="0"/>
                <w:sz w:val="24"/>
                <w:szCs w:val="24"/>
                <w:highlight w:val="none"/>
                <w:lang w:bidi="ar"/>
              </w:rPr>
              <w:t>分值</w:t>
            </w:r>
          </w:p>
        </w:tc>
        <w:tc>
          <w:tcPr>
            <w:tcW w:w="2856" w:type="pct"/>
            <w:shd w:val="clear" w:color="auto" w:fill="DCDCDC"/>
            <w:vAlign w:val="center"/>
          </w:tcPr>
          <w:p w14:paraId="01727B06">
            <w:pPr>
              <w:widowControl/>
              <w:jc w:val="center"/>
              <w:rPr>
                <w:rFonts w:ascii="宋体" w:hAnsi="等线" w:eastAsia="宋体" w:cs="等线"/>
                <w:color w:val="auto"/>
                <w:highlight w:val="none"/>
              </w:rPr>
            </w:pPr>
            <w:r>
              <w:rPr>
                <w:rFonts w:hint="eastAsia" w:ascii="宋体" w:hAnsi="宋体" w:eastAsia="宋体" w:cs="宋体"/>
                <w:color w:val="auto"/>
                <w:kern w:val="0"/>
                <w:sz w:val="24"/>
                <w:szCs w:val="24"/>
                <w:highlight w:val="none"/>
                <w:lang w:bidi="ar"/>
              </w:rPr>
              <w:t>评审标准</w:t>
            </w:r>
          </w:p>
        </w:tc>
        <w:tc>
          <w:tcPr>
            <w:tcW w:w="405" w:type="pct"/>
            <w:shd w:val="clear" w:color="auto" w:fill="DCDCDC"/>
            <w:vAlign w:val="center"/>
          </w:tcPr>
          <w:p w14:paraId="1E69E90F">
            <w:pPr>
              <w:widowControl/>
              <w:jc w:val="center"/>
              <w:rPr>
                <w:rFonts w:ascii="宋体" w:hAnsi="等线" w:eastAsia="宋体" w:cs="等线"/>
                <w:color w:val="auto"/>
                <w:highlight w:val="none"/>
              </w:rPr>
            </w:pPr>
            <w:r>
              <w:rPr>
                <w:rFonts w:hint="eastAsia" w:ascii="宋体" w:hAnsi="宋体" w:eastAsia="宋体" w:cs="宋体"/>
                <w:color w:val="auto"/>
                <w:kern w:val="0"/>
                <w:sz w:val="24"/>
                <w:szCs w:val="24"/>
                <w:highlight w:val="none"/>
                <w:lang w:bidi="ar"/>
              </w:rPr>
              <w:t>备注</w:t>
            </w:r>
          </w:p>
        </w:tc>
      </w:tr>
      <w:tr w14:paraId="79275EA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5" w:hRule="atLeast"/>
          <w:tblCellSpacing w:w="0" w:type="dxa"/>
        </w:trPr>
        <w:tc>
          <w:tcPr>
            <w:tcW w:w="296" w:type="pct"/>
            <w:shd w:val="clear" w:color="auto" w:fill="DCDCDC"/>
            <w:vAlign w:val="center"/>
          </w:tcPr>
          <w:p w14:paraId="51822C63">
            <w:pPr>
              <w:widowControl/>
              <w:spacing w:line="360" w:lineRule="auto"/>
              <w:jc w:val="center"/>
              <w:rPr>
                <w:color w:val="auto"/>
                <w:szCs w:val="21"/>
                <w:highlight w:val="none"/>
                <w:lang w:bidi="ar"/>
              </w:rPr>
            </w:pPr>
            <w:r>
              <w:rPr>
                <w:rFonts w:hint="eastAsia"/>
                <w:color w:val="auto"/>
                <w:szCs w:val="21"/>
                <w:highlight w:val="none"/>
                <w:lang w:bidi="ar"/>
              </w:rPr>
              <w:t>一</w:t>
            </w:r>
          </w:p>
        </w:tc>
        <w:tc>
          <w:tcPr>
            <w:tcW w:w="1075" w:type="pct"/>
            <w:shd w:val="clear" w:color="auto" w:fill="DCDCDC"/>
            <w:vAlign w:val="center"/>
          </w:tcPr>
          <w:p w14:paraId="13173F60">
            <w:pPr>
              <w:widowControl/>
              <w:spacing w:line="360" w:lineRule="auto"/>
              <w:jc w:val="center"/>
              <w:rPr>
                <w:color w:val="auto"/>
                <w:szCs w:val="21"/>
                <w:highlight w:val="none"/>
                <w:lang w:bidi="ar"/>
              </w:rPr>
            </w:pPr>
            <w:r>
              <w:rPr>
                <w:rFonts w:hint="eastAsia"/>
                <w:color w:val="auto"/>
                <w:szCs w:val="21"/>
                <w:highlight w:val="none"/>
              </w:rPr>
              <w:t>技术方案评审</w:t>
            </w:r>
          </w:p>
        </w:tc>
        <w:tc>
          <w:tcPr>
            <w:tcW w:w="364" w:type="pct"/>
            <w:shd w:val="clear" w:color="auto" w:fill="DCDCDC"/>
            <w:vAlign w:val="center"/>
          </w:tcPr>
          <w:p w14:paraId="19692954">
            <w:pPr>
              <w:widowControl/>
              <w:spacing w:line="360" w:lineRule="auto"/>
              <w:jc w:val="center"/>
              <w:rPr>
                <w:color w:val="auto"/>
                <w:szCs w:val="21"/>
                <w:highlight w:val="none"/>
                <w:lang w:bidi="ar"/>
              </w:rPr>
            </w:pPr>
            <w:r>
              <w:rPr>
                <w:rFonts w:hint="eastAsia"/>
                <w:color w:val="auto"/>
                <w:szCs w:val="21"/>
                <w:highlight w:val="none"/>
                <w:lang w:bidi="ar"/>
              </w:rPr>
              <w:t>60</w:t>
            </w:r>
          </w:p>
        </w:tc>
        <w:tc>
          <w:tcPr>
            <w:tcW w:w="2856" w:type="pct"/>
            <w:shd w:val="clear" w:color="auto" w:fill="DCDCDC"/>
            <w:vAlign w:val="center"/>
          </w:tcPr>
          <w:p w14:paraId="06AC1AA3">
            <w:pPr>
              <w:widowControl/>
              <w:spacing w:line="360" w:lineRule="auto"/>
              <w:jc w:val="left"/>
              <w:rPr>
                <w:color w:val="auto"/>
                <w:szCs w:val="21"/>
                <w:highlight w:val="none"/>
                <w:lang w:bidi="ar"/>
              </w:rPr>
            </w:pPr>
          </w:p>
        </w:tc>
        <w:tc>
          <w:tcPr>
            <w:tcW w:w="405" w:type="pct"/>
            <w:shd w:val="clear" w:color="auto" w:fill="DCDCDC"/>
            <w:vAlign w:val="center"/>
          </w:tcPr>
          <w:p w14:paraId="16E8E9A4">
            <w:pPr>
              <w:widowControl/>
              <w:spacing w:line="360" w:lineRule="auto"/>
              <w:jc w:val="left"/>
              <w:rPr>
                <w:color w:val="auto"/>
                <w:szCs w:val="21"/>
                <w:highlight w:val="none"/>
                <w:lang w:bidi="ar"/>
              </w:rPr>
            </w:pPr>
          </w:p>
        </w:tc>
      </w:tr>
      <w:tr w14:paraId="2ED85B1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4E778EF6">
            <w:pPr>
              <w:spacing w:line="360" w:lineRule="auto"/>
              <w:jc w:val="center"/>
              <w:rPr>
                <w:color w:val="auto"/>
                <w:szCs w:val="21"/>
                <w:highlight w:val="none"/>
              </w:rPr>
            </w:pPr>
            <w:r>
              <w:rPr>
                <w:rFonts w:hint="eastAsia"/>
                <w:color w:val="auto"/>
                <w:szCs w:val="21"/>
                <w:highlight w:val="none"/>
              </w:rPr>
              <w:t>1</w:t>
            </w:r>
          </w:p>
        </w:tc>
        <w:tc>
          <w:tcPr>
            <w:tcW w:w="1075" w:type="pct"/>
            <w:shd w:val="clear" w:color="auto" w:fill="auto"/>
            <w:vAlign w:val="center"/>
          </w:tcPr>
          <w:p w14:paraId="1C023610">
            <w:pPr>
              <w:spacing w:line="360" w:lineRule="auto"/>
              <w:jc w:val="center"/>
              <w:rPr>
                <w:color w:val="auto"/>
                <w:szCs w:val="21"/>
                <w:highlight w:val="none"/>
              </w:rPr>
            </w:pPr>
            <w:r>
              <w:rPr>
                <w:rFonts w:hint="eastAsia"/>
                <w:color w:val="auto"/>
                <w:szCs w:val="21"/>
                <w:highlight w:val="none"/>
              </w:rPr>
              <w:t>总体服务方案的完整性</w:t>
            </w:r>
          </w:p>
        </w:tc>
        <w:tc>
          <w:tcPr>
            <w:tcW w:w="364" w:type="pct"/>
            <w:shd w:val="clear" w:color="auto" w:fill="auto"/>
            <w:vAlign w:val="center"/>
          </w:tcPr>
          <w:p w14:paraId="6CB7A916">
            <w:pPr>
              <w:spacing w:line="360" w:lineRule="auto"/>
              <w:jc w:val="center"/>
              <w:rPr>
                <w:color w:val="auto"/>
                <w:szCs w:val="21"/>
                <w:highlight w:val="none"/>
              </w:rPr>
            </w:pPr>
            <w:r>
              <w:rPr>
                <w:rFonts w:hint="eastAsia"/>
                <w:color w:val="auto"/>
                <w:szCs w:val="21"/>
                <w:highlight w:val="none"/>
                <w:lang w:val="en-US" w:eastAsia="zh-CN"/>
              </w:rPr>
              <w:t>10</w:t>
            </w:r>
          </w:p>
        </w:tc>
        <w:tc>
          <w:tcPr>
            <w:tcW w:w="2856" w:type="pct"/>
            <w:shd w:val="clear" w:color="auto" w:fill="auto"/>
            <w:vAlign w:val="center"/>
          </w:tcPr>
          <w:p w14:paraId="42AA51BF">
            <w:pPr>
              <w:spacing w:line="360" w:lineRule="auto"/>
              <w:jc w:val="left"/>
              <w:rPr>
                <w:color w:val="auto"/>
                <w:szCs w:val="21"/>
                <w:highlight w:val="none"/>
              </w:rPr>
            </w:pPr>
            <w:r>
              <w:rPr>
                <w:rFonts w:hint="eastAsia"/>
                <w:color w:val="auto"/>
                <w:kern w:val="0"/>
                <w:szCs w:val="21"/>
                <w:highlight w:val="none"/>
              </w:rPr>
              <w:t>报价人提供的总体服务方案包括总体设计、建设方案等，详细阐述实现思路和关键技术</w:t>
            </w:r>
            <w:r>
              <w:rPr>
                <w:color w:val="auto"/>
                <w:kern w:val="0"/>
                <w:szCs w:val="21"/>
                <w:highlight w:val="none"/>
              </w:rPr>
              <w:t>。好为</w:t>
            </w:r>
            <w:r>
              <w:rPr>
                <w:color w:val="auto"/>
                <w:szCs w:val="21"/>
                <w:highlight w:val="none"/>
              </w:rPr>
              <w:t>10～8分；较好为8～6分；一般为6～0分。</w:t>
            </w:r>
          </w:p>
        </w:tc>
        <w:tc>
          <w:tcPr>
            <w:tcW w:w="405" w:type="pct"/>
            <w:shd w:val="clear" w:color="auto" w:fill="auto"/>
            <w:vAlign w:val="center"/>
          </w:tcPr>
          <w:p w14:paraId="2AC61CAC">
            <w:pPr>
              <w:widowControl/>
              <w:spacing w:line="360" w:lineRule="auto"/>
              <w:jc w:val="left"/>
              <w:rPr>
                <w:color w:val="auto"/>
                <w:szCs w:val="21"/>
                <w:highlight w:val="none"/>
              </w:rPr>
            </w:pPr>
          </w:p>
        </w:tc>
      </w:tr>
      <w:tr w14:paraId="7FC1B29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29142131">
            <w:pPr>
              <w:spacing w:line="360" w:lineRule="auto"/>
              <w:jc w:val="center"/>
              <w:rPr>
                <w:color w:val="auto"/>
                <w:szCs w:val="21"/>
                <w:highlight w:val="none"/>
              </w:rPr>
            </w:pPr>
            <w:r>
              <w:rPr>
                <w:rFonts w:hint="eastAsia"/>
                <w:color w:val="auto"/>
                <w:szCs w:val="21"/>
                <w:highlight w:val="none"/>
              </w:rPr>
              <w:t>2</w:t>
            </w:r>
          </w:p>
        </w:tc>
        <w:tc>
          <w:tcPr>
            <w:tcW w:w="1075" w:type="pct"/>
            <w:shd w:val="clear" w:color="auto" w:fill="auto"/>
            <w:vAlign w:val="center"/>
          </w:tcPr>
          <w:p w14:paraId="4FB2DCEF">
            <w:pPr>
              <w:spacing w:line="360" w:lineRule="auto"/>
              <w:jc w:val="center"/>
              <w:rPr>
                <w:color w:val="auto"/>
                <w:szCs w:val="21"/>
                <w:highlight w:val="none"/>
              </w:rPr>
            </w:pPr>
            <w:r>
              <w:rPr>
                <w:rFonts w:hint="eastAsia"/>
                <w:color w:val="auto"/>
                <w:szCs w:val="21"/>
                <w:highlight w:val="none"/>
              </w:rPr>
              <w:t>认证服务</w:t>
            </w:r>
            <w:r>
              <w:rPr>
                <w:color w:val="auto"/>
                <w:szCs w:val="21"/>
                <w:highlight w:val="none"/>
              </w:rPr>
              <w:t>的时间安排</w:t>
            </w:r>
          </w:p>
        </w:tc>
        <w:tc>
          <w:tcPr>
            <w:tcW w:w="364" w:type="pct"/>
            <w:shd w:val="clear" w:color="auto" w:fill="auto"/>
            <w:vAlign w:val="center"/>
          </w:tcPr>
          <w:p w14:paraId="56FFF8DD">
            <w:pPr>
              <w:spacing w:line="360" w:lineRule="auto"/>
              <w:jc w:val="center"/>
              <w:rPr>
                <w:color w:val="auto"/>
                <w:szCs w:val="21"/>
                <w:highlight w:val="none"/>
              </w:rPr>
            </w:pPr>
            <w:r>
              <w:rPr>
                <w:rFonts w:hint="eastAsia"/>
                <w:color w:val="auto"/>
                <w:szCs w:val="21"/>
                <w:highlight w:val="none"/>
              </w:rPr>
              <w:t>10</w:t>
            </w:r>
          </w:p>
        </w:tc>
        <w:tc>
          <w:tcPr>
            <w:tcW w:w="2856" w:type="pct"/>
            <w:shd w:val="clear" w:color="auto" w:fill="auto"/>
            <w:vAlign w:val="center"/>
          </w:tcPr>
          <w:p w14:paraId="5B578642">
            <w:pPr>
              <w:spacing w:line="360" w:lineRule="auto"/>
              <w:jc w:val="left"/>
              <w:rPr>
                <w:color w:val="auto"/>
                <w:szCs w:val="21"/>
                <w:highlight w:val="none"/>
              </w:rPr>
            </w:pPr>
            <w:r>
              <w:rPr>
                <w:color w:val="auto"/>
                <w:szCs w:val="21"/>
                <w:highlight w:val="none"/>
              </w:rPr>
              <w:t>主要评审</w:t>
            </w:r>
            <w:r>
              <w:rPr>
                <w:rFonts w:hint="eastAsia"/>
                <w:color w:val="auto"/>
                <w:szCs w:val="21"/>
                <w:highlight w:val="none"/>
              </w:rPr>
              <w:t>认证</w:t>
            </w:r>
            <w:r>
              <w:rPr>
                <w:color w:val="auto"/>
                <w:szCs w:val="21"/>
                <w:highlight w:val="none"/>
              </w:rPr>
              <w:t>工作实施的时间安排是否全面、详细、可行等。</w:t>
            </w:r>
            <w:r>
              <w:rPr>
                <w:color w:val="auto"/>
                <w:kern w:val="0"/>
                <w:szCs w:val="21"/>
                <w:highlight w:val="none"/>
              </w:rPr>
              <w:t>好为</w:t>
            </w:r>
            <w:r>
              <w:rPr>
                <w:color w:val="auto"/>
                <w:szCs w:val="21"/>
                <w:highlight w:val="none"/>
              </w:rPr>
              <w:t>10～8分；较好为8～6分；一般为6～0分。</w:t>
            </w:r>
          </w:p>
        </w:tc>
        <w:tc>
          <w:tcPr>
            <w:tcW w:w="405" w:type="pct"/>
            <w:shd w:val="clear" w:color="auto" w:fill="auto"/>
            <w:vAlign w:val="center"/>
          </w:tcPr>
          <w:p w14:paraId="04BB4A8C">
            <w:pPr>
              <w:widowControl/>
              <w:spacing w:line="360" w:lineRule="auto"/>
              <w:jc w:val="left"/>
              <w:rPr>
                <w:color w:val="auto"/>
                <w:szCs w:val="21"/>
                <w:highlight w:val="none"/>
              </w:rPr>
            </w:pPr>
          </w:p>
        </w:tc>
      </w:tr>
      <w:tr w14:paraId="377DFE9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4F467703">
            <w:pPr>
              <w:spacing w:line="360" w:lineRule="auto"/>
              <w:jc w:val="center"/>
              <w:rPr>
                <w:color w:val="auto"/>
                <w:szCs w:val="21"/>
                <w:highlight w:val="none"/>
              </w:rPr>
            </w:pPr>
            <w:r>
              <w:rPr>
                <w:rFonts w:hint="eastAsia"/>
                <w:color w:val="auto"/>
                <w:szCs w:val="21"/>
                <w:highlight w:val="none"/>
              </w:rPr>
              <w:t>3</w:t>
            </w:r>
          </w:p>
        </w:tc>
        <w:tc>
          <w:tcPr>
            <w:tcW w:w="1075" w:type="pct"/>
            <w:shd w:val="clear" w:color="auto" w:fill="auto"/>
            <w:vAlign w:val="center"/>
          </w:tcPr>
          <w:p w14:paraId="5D5095A4">
            <w:pPr>
              <w:spacing w:line="240" w:lineRule="auto"/>
              <w:jc w:val="center"/>
              <w:rPr>
                <w:rFonts w:ascii="Calibri" w:hAnsi="Calibri" w:eastAsia="宋体" w:cs="Times New Roman"/>
                <w:color w:val="auto"/>
                <w:szCs w:val="21"/>
                <w:highlight w:val="none"/>
              </w:rPr>
            </w:pPr>
            <w:r>
              <w:rPr>
                <w:rFonts w:hint="eastAsia" w:ascii="宋体" w:hAnsi="宋体" w:cs="Times New Roman Regular"/>
                <w:color w:val="auto"/>
                <w:highlight w:val="none"/>
              </w:rPr>
              <w:t>项目组织实施方案</w:t>
            </w:r>
          </w:p>
        </w:tc>
        <w:tc>
          <w:tcPr>
            <w:tcW w:w="364" w:type="pct"/>
            <w:shd w:val="clear" w:color="auto" w:fill="auto"/>
            <w:vAlign w:val="center"/>
          </w:tcPr>
          <w:p w14:paraId="77898F77">
            <w:pPr>
              <w:spacing w:line="360" w:lineRule="auto"/>
              <w:jc w:val="center"/>
              <w:rPr>
                <w:rFonts w:hint="default" w:eastAsiaTheme="minorEastAsia"/>
                <w:color w:val="auto"/>
                <w:szCs w:val="21"/>
                <w:highlight w:val="none"/>
                <w:lang w:val="en-US" w:eastAsia="zh-CN"/>
              </w:rPr>
            </w:pPr>
            <w:r>
              <w:rPr>
                <w:rFonts w:hint="eastAsia"/>
                <w:color w:val="auto"/>
                <w:szCs w:val="21"/>
                <w:highlight w:val="none"/>
                <w:lang w:val="en-US" w:eastAsia="zh-CN"/>
              </w:rPr>
              <w:t>10</w:t>
            </w:r>
          </w:p>
        </w:tc>
        <w:tc>
          <w:tcPr>
            <w:tcW w:w="2856" w:type="pct"/>
            <w:shd w:val="clear" w:color="auto" w:fill="auto"/>
            <w:vAlign w:val="center"/>
          </w:tcPr>
          <w:p w14:paraId="7351AEBB">
            <w:pPr>
              <w:rPr>
                <w:rFonts w:hint="eastAsia" w:ascii="Calibri" w:hAnsi="Calibri" w:cs="Times New Roman" w:eastAsiaTheme="minorEastAsia"/>
                <w:color w:val="auto"/>
                <w:szCs w:val="21"/>
                <w:highlight w:val="none"/>
                <w:lang w:val="en-US" w:eastAsia="zh-CN"/>
              </w:rPr>
            </w:pPr>
            <w:r>
              <w:rPr>
                <w:rFonts w:hint="eastAsia" w:ascii="宋体" w:hAnsi="宋体" w:cs="Times New Roman Regular"/>
                <w:color w:val="auto"/>
                <w:highlight w:val="none"/>
              </w:rPr>
              <w:t>项目实施计划、调试方案、质量保证措施，评委根据报价人提供的项目组织实施</w:t>
            </w:r>
            <w:r>
              <w:rPr>
                <w:rFonts w:hint="eastAsia" w:ascii="宋体" w:hAnsi="宋体" w:cs="Times New Roman Regular"/>
                <w:color w:val="auto"/>
                <w:highlight w:val="none"/>
                <w:lang w:eastAsia="zh-CN"/>
              </w:rPr>
              <w:t>。</w:t>
            </w:r>
            <w:r>
              <w:rPr>
                <w:color w:val="auto"/>
                <w:kern w:val="0"/>
                <w:szCs w:val="21"/>
                <w:highlight w:val="none"/>
              </w:rPr>
              <w:t>好为</w:t>
            </w:r>
            <w:r>
              <w:rPr>
                <w:color w:val="auto"/>
                <w:szCs w:val="21"/>
                <w:highlight w:val="none"/>
              </w:rPr>
              <w:t>10～8分；较好为8～6分；一般为6～0分。</w:t>
            </w:r>
          </w:p>
        </w:tc>
        <w:tc>
          <w:tcPr>
            <w:tcW w:w="405" w:type="pct"/>
            <w:shd w:val="clear" w:color="auto" w:fill="auto"/>
            <w:vAlign w:val="center"/>
          </w:tcPr>
          <w:p w14:paraId="1FA9285B">
            <w:pPr>
              <w:widowControl/>
              <w:spacing w:line="360" w:lineRule="auto"/>
              <w:jc w:val="left"/>
              <w:rPr>
                <w:color w:val="auto"/>
                <w:szCs w:val="21"/>
                <w:highlight w:val="none"/>
              </w:rPr>
            </w:pPr>
          </w:p>
        </w:tc>
      </w:tr>
      <w:tr w14:paraId="0DBC807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0DAEFCB0">
            <w:pPr>
              <w:spacing w:line="360" w:lineRule="auto"/>
              <w:jc w:val="center"/>
              <w:rPr>
                <w:color w:val="auto"/>
                <w:szCs w:val="21"/>
                <w:highlight w:val="none"/>
              </w:rPr>
            </w:pPr>
            <w:r>
              <w:rPr>
                <w:color w:val="auto"/>
                <w:szCs w:val="21"/>
                <w:highlight w:val="none"/>
              </w:rPr>
              <w:t>4</w:t>
            </w:r>
          </w:p>
        </w:tc>
        <w:tc>
          <w:tcPr>
            <w:tcW w:w="1075" w:type="pct"/>
            <w:vMerge w:val="restart"/>
            <w:shd w:val="clear" w:color="auto" w:fill="auto"/>
            <w:vAlign w:val="center"/>
          </w:tcPr>
          <w:p w14:paraId="0D20AB08">
            <w:pPr>
              <w:spacing w:line="360" w:lineRule="auto"/>
              <w:jc w:val="center"/>
              <w:rPr>
                <w:color w:val="auto"/>
                <w:szCs w:val="21"/>
                <w:highlight w:val="none"/>
              </w:rPr>
            </w:pPr>
            <w:r>
              <w:rPr>
                <w:color w:val="auto"/>
                <w:szCs w:val="21"/>
                <w:highlight w:val="none"/>
              </w:rPr>
              <w:t>人员配置情况</w:t>
            </w:r>
          </w:p>
        </w:tc>
        <w:tc>
          <w:tcPr>
            <w:tcW w:w="364" w:type="pct"/>
            <w:shd w:val="clear" w:color="auto" w:fill="auto"/>
            <w:vAlign w:val="center"/>
          </w:tcPr>
          <w:p w14:paraId="394E0323">
            <w:pPr>
              <w:spacing w:line="360" w:lineRule="auto"/>
              <w:jc w:val="center"/>
              <w:rPr>
                <w:color w:val="auto"/>
                <w:szCs w:val="21"/>
                <w:highlight w:val="none"/>
              </w:rPr>
            </w:pPr>
            <w:r>
              <w:rPr>
                <w:rFonts w:hint="eastAsia"/>
                <w:color w:val="auto"/>
                <w:szCs w:val="21"/>
                <w:highlight w:val="none"/>
              </w:rPr>
              <w:t>10</w:t>
            </w:r>
          </w:p>
        </w:tc>
        <w:tc>
          <w:tcPr>
            <w:tcW w:w="2856" w:type="pct"/>
            <w:shd w:val="clear" w:color="auto" w:fill="auto"/>
            <w:vAlign w:val="center"/>
          </w:tcPr>
          <w:p w14:paraId="00DB1628">
            <w:pPr>
              <w:spacing w:line="360" w:lineRule="auto"/>
              <w:jc w:val="left"/>
              <w:rPr>
                <w:color w:val="auto"/>
                <w:szCs w:val="21"/>
                <w:highlight w:val="none"/>
                <w:lang w:bidi="mn-Mong-CN"/>
              </w:rPr>
            </w:pPr>
            <w:r>
              <w:rPr>
                <w:rFonts w:hint="eastAsia"/>
                <w:color w:val="auto"/>
                <w:szCs w:val="21"/>
                <w:highlight w:val="none"/>
              </w:rPr>
              <w:t>咨询服务需要有专属项目负责人，且项目负责人需要有10年以上职业健康安全管理体系、环境管理体系咨询经验；有不少于2名具有5年以上职业健康安全管理体系、环境管理体系咨询经验的项目成员。需提供项目组人员的名单。项目负责人需根据需要适时到项目现场开展咨询指导。</w:t>
            </w:r>
            <w:r>
              <w:rPr>
                <w:color w:val="auto"/>
                <w:kern w:val="0"/>
                <w:szCs w:val="21"/>
                <w:highlight w:val="none"/>
              </w:rPr>
              <w:t>好为</w:t>
            </w:r>
            <w:r>
              <w:rPr>
                <w:color w:val="auto"/>
                <w:szCs w:val="21"/>
                <w:highlight w:val="none"/>
              </w:rPr>
              <w:t>10～8分；较好为8～6分；一般为6～0分。</w:t>
            </w:r>
          </w:p>
        </w:tc>
        <w:tc>
          <w:tcPr>
            <w:tcW w:w="405" w:type="pct"/>
            <w:shd w:val="clear" w:color="auto" w:fill="auto"/>
            <w:vAlign w:val="center"/>
          </w:tcPr>
          <w:p w14:paraId="6FEDB819">
            <w:pPr>
              <w:widowControl/>
              <w:spacing w:line="360" w:lineRule="auto"/>
              <w:jc w:val="left"/>
              <w:rPr>
                <w:color w:val="auto"/>
                <w:szCs w:val="21"/>
                <w:highlight w:val="none"/>
              </w:rPr>
            </w:pPr>
          </w:p>
        </w:tc>
      </w:tr>
      <w:tr w14:paraId="6CE16ED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1397F02E">
            <w:pPr>
              <w:spacing w:line="360" w:lineRule="auto"/>
              <w:jc w:val="center"/>
              <w:rPr>
                <w:color w:val="auto"/>
                <w:szCs w:val="21"/>
                <w:highlight w:val="none"/>
              </w:rPr>
            </w:pPr>
            <w:r>
              <w:rPr>
                <w:color w:val="auto"/>
                <w:szCs w:val="21"/>
                <w:highlight w:val="none"/>
              </w:rPr>
              <w:t>5</w:t>
            </w:r>
          </w:p>
        </w:tc>
        <w:tc>
          <w:tcPr>
            <w:tcW w:w="1075" w:type="pct"/>
            <w:vMerge w:val="continue"/>
            <w:shd w:val="clear" w:color="auto" w:fill="auto"/>
            <w:vAlign w:val="center"/>
          </w:tcPr>
          <w:p w14:paraId="46E5BD9F">
            <w:pPr>
              <w:spacing w:line="360" w:lineRule="auto"/>
              <w:jc w:val="left"/>
              <w:rPr>
                <w:color w:val="auto"/>
                <w:szCs w:val="21"/>
                <w:highlight w:val="none"/>
              </w:rPr>
            </w:pPr>
          </w:p>
        </w:tc>
        <w:tc>
          <w:tcPr>
            <w:tcW w:w="364" w:type="pct"/>
            <w:shd w:val="clear" w:color="auto" w:fill="auto"/>
            <w:vAlign w:val="center"/>
          </w:tcPr>
          <w:p w14:paraId="76A85D57">
            <w:pPr>
              <w:spacing w:line="360" w:lineRule="auto"/>
              <w:jc w:val="center"/>
              <w:rPr>
                <w:color w:val="auto"/>
                <w:szCs w:val="21"/>
                <w:highlight w:val="none"/>
              </w:rPr>
            </w:pPr>
            <w:r>
              <w:rPr>
                <w:rFonts w:hint="eastAsia"/>
                <w:color w:val="auto"/>
                <w:szCs w:val="21"/>
                <w:highlight w:val="none"/>
              </w:rPr>
              <w:t>10</w:t>
            </w:r>
          </w:p>
        </w:tc>
        <w:tc>
          <w:tcPr>
            <w:tcW w:w="2856" w:type="pct"/>
            <w:shd w:val="clear" w:color="auto" w:fill="auto"/>
            <w:vAlign w:val="center"/>
          </w:tcPr>
          <w:p w14:paraId="3411D7FB">
            <w:pPr>
              <w:spacing w:line="360" w:lineRule="auto"/>
              <w:jc w:val="left"/>
              <w:rPr>
                <w:color w:val="auto"/>
                <w:szCs w:val="21"/>
                <w:highlight w:val="none"/>
              </w:rPr>
            </w:pPr>
            <w:r>
              <w:rPr>
                <w:rFonts w:hint="eastAsia"/>
                <w:color w:val="auto"/>
                <w:szCs w:val="21"/>
                <w:highlight w:val="none"/>
              </w:rPr>
              <w:t>审核/认证需要有专属项目负责人，且项目负责人需要有10年以上职业健康安全管理体系、环境管理体系审核经验；有不少于11名具有5年以上职业健康安全管理体系、环境管理体系审核经验的项目成员，其中不少于5人应具有输水调度、泵站开停机、水质化验等专业能力的审核员。需提供项目组人员的名单及资质证书。</w:t>
            </w:r>
            <w:r>
              <w:rPr>
                <w:color w:val="auto"/>
                <w:kern w:val="0"/>
                <w:szCs w:val="21"/>
                <w:highlight w:val="none"/>
              </w:rPr>
              <w:t>好为</w:t>
            </w:r>
            <w:r>
              <w:rPr>
                <w:color w:val="auto"/>
                <w:szCs w:val="21"/>
                <w:highlight w:val="none"/>
              </w:rPr>
              <w:t>10～8分；较好为8～6分；一般为6～0分。</w:t>
            </w:r>
          </w:p>
        </w:tc>
        <w:tc>
          <w:tcPr>
            <w:tcW w:w="405" w:type="pct"/>
            <w:shd w:val="clear" w:color="auto" w:fill="auto"/>
            <w:vAlign w:val="center"/>
          </w:tcPr>
          <w:p w14:paraId="2B9777F3">
            <w:pPr>
              <w:widowControl/>
              <w:spacing w:line="360" w:lineRule="auto"/>
              <w:jc w:val="left"/>
              <w:rPr>
                <w:color w:val="auto"/>
                <w:szCs w:val="21"/>
                <w:highlight w:val="none"/>
              </w:rPr>
            </w:pPr>
          </w:p>
        </w:tc>
      </w:tr>
      <w:tr w14:paraId="62695F4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15" w:hRule="atLeast"/>
          <w:tblCellSpacing w:w="0" w:type="dxa"/>
        </w:trPr>
        <w:tc>
          <w:tcPr>
            <w:tcW w:w="296" w:type="pct"/>
            <w:shd w:val="clear" w:color="auto" w:fill="auto"/>
            <w:vAlign w:val="center"/>
          </w:tcPr>
          <w:p w14:paraId="1923229D">
            <w:pPr>
              <w:spacing w:line="360" w:lineRule="auto"/>
              <w:jc w:val="center"/>
              <w:rPr>
                <w:color w:val="auto"/>
                <w:szCs w:val="21"/>
                <w:highlight w:val="none"/>
              </w:rPr>
            </w:pPr>
            <w:r>
              <w:rPr>
                <w:rFonts w:hint="eastAsia"/>
                <w:color w:val="auto"/>
                <w:szCs w:val="21"/>
                <w:highlight w:val="none"/>
              </w:rPr>
              <w:t>6</w:t>
            </w:r>
          </w:p>
        </w:tc>
        <w:tc>
          <w:tcPr>
            <w:tcW w:w="1075" w:type="pct"/>
            <w:shd w:val="clear" w:color="auto" w:fill="auto"/>
            <w:vAlign w:val="center"/>
          </w:tcPr>
          <w:p w14:paraId="73F3933C">
            <w:pPr>
              <w:spacing w:after="78" w:afterLines="25" w:line="264" w:lineRule="auto"/>
              <w:jc w:val="center"/>
              <w:rPr>
                <w:rFonts w:ascii="Times New Roman Regular" w:hAnsi="Times New Roman Regular" w:eastAsia="宋体" w:cs="Times New Roman Regular"/>
                <w:color w:val="auto"/>
                <w:szCs w:val="21"/>
                <w:highlight w:val="none"/>
              </w:rPr>
            </w:pPr>
            <w:r>
              <w:rPr>
                <w:rFonts w:hint="eastAsia" w:ascii="宋体" w:hAnsi="宋体" w:cs="Times New Roman Regular"/>
                <w:color w:val="auto"/>
                <w:highlight w:val="none"/>
              </w:rPr>
              <w:t>应急预案</w:t>
            </w:r>
          </w:p>
        </w:tc>
        <w:tc>
          <w:tcPr>
            <w:tcW w:w="364" w:type="pct"/>
            <w:shd w:val="clear" w:color="auto" w:fill="auto"/>
            <w:vAlign w:val="center"/>
          </w:tcPr>
          <w:p w14:paraId="62645975">
            <w:pPr>
              <w:spacing w:line="360" w:lineRule="auto"/>
              <w:jc w:val="center"/>
              <w:rPr>
                <w:rFonts w:hint="eastAsia" w:eastAsiaTheme="minorEastAsia"/>
                <w:color w:val="auto"/>
                <w:szCs w:val="21"/>
                <w:highlight w:val="none"/>
                <w:lang w:val="en-US" w:eastAsia="zh-CN"/>
              </w:rPr>
            </w:pPr>
            <w:r>
              <w:rPr>
                <w:rFonts w:hint="eastAsia"/>
                <w:color w:val="auto"/>
                <w:szCs w:val="21"/>
                <w:highlight w:val="none"/>
                <w:lang w:val="en-US" w:eastAsia="zh-CN"/>
              </w:rPr>
              <w:t>5</w:t>
            </w:r>
          </w:p>
        </w:tc>
        <w:tc>
          <w:tcPr>
            <w:tcW w:w="2856" w:type="pct"/>
            <w:shd w:val="clear" w:color="auto" w:fill="auto"/>
            <w:vAlign w:val="center"/>
          </w:tcPr>
          <w:p w14:paraId="43FD7DBE">
            <w:pPr>
              <w:spacing w:after="60"/>
              <w:rPr>
                <w:rFonts w:hint="eastAsia" w:ascii="Calibri" w:hAnsi="Calibri" w:cs="Times New Roman"/>
                <w:color w:val="auto"/>
                <w:highlight w:val="none"/>
              </w:rPr>
            </w:pPr>
            <w:r>
              <w:rPr>
                <w:rFonts w:hint="eastAsia" w:ascii="宋体" w:hAnsi="宋体" w:cs="Times New Roman Regular"/>
                <w:color w:val="auto"/>
                <w:highlight w:val="none"/>
              </w:rPr>
              <w:t>报价人提供针对本项目的突发应急事件处理方案，包含日常管理中常见的突发事件的操作规程及措施、保证在有突发情况发生时有相应的应对机制及明确的相关责任人、制定详尽的突发情况应急响应及处理时间方案等</w:t>
            </w:r>
            <w:r>
              <w:rPr>
                <w:rFonts w:hint="eastAsia" w:ascii="宋体" w:hAnsi="宋体" w:cs="Times New Roman Regular"/>
                <w:color w:val="auto"/>
                <w:highlight w:val="none"/>
                <w:lang w:eastAsia="zh-CN"/>
              </w:rPr>
              <w:t>。，</w:t>
            </w:r>
            <w:r>
              <w:rPr>
                <w:rFonts w:hint="eastAsia" w:ascii="宋体" w:hAnsi="宋体" w:cs="Times New Roman Regular"/>
                <w:color w:val="auto"/>
                <w:highlight w:val="none"/>
              </w:rPr>
              <w:t>包含上述全部内容且合理、全面、可行，无漏项</w:t>
            </w:r>
            <w:r>
              <w:rPr>
                <w:rFonts w:hint="eastAsia" w:ascii="宋体" w:hAnsi="宋体" w:cs="Times New Roman Regular"/>
                <w:color w:val="auto"/>
                <w:highlight w:val="none"/>
                <w:lang w:eastAsia="zh-CN"/>
              </w:rPr>
              <w:t>。</w:t>
            </w:r>
            <w:r>
              <w:rPr>
                <w:color w:val="auto"/>
                <w:kern w:val="0"/>
                <w:szCs w:val="21"/>
                <w:highlight w:val="none"/>
              </w:rPr>
              <w:t>好为</w:t>
            </w:r>
            <w:r>
              <w:rPr>
                <w:rFonts w:hint="eastAsia"/>
                <w:color w:val="auto"/>
                <w:szCs w:val="21"/>
                <w:highlight w:val="none"/>
                <w:lang w:val="en-US" w:eastAsia="zh-CN"/>
              </w:rPr>
              <w:t>5</w:t>
            </w:r>
            <w:r>
              <w:rPr>
                <w:color w:val="auto"/>
                <w:szCs w:val="21"/>
                <w:highlight w:val="none"/>
              </w:rPr>
              <w:t>～</w:t>
            </w:r>
            <w:r>
              <w:rPr>
                <w:rFonts w:hint="eastAsia"/>
                <w:color w:val="auto"/>
                <w:szCs w:val="21"/>
                <w:highlight w:val="none"/>
                <w:lang w:val="en-US" w:eastAsia="zh-CN"/>
              </w:rPr>
              <w:t>3</w:t>
            </w:r>
            <w:r>
              <w:rPr>
                <w:color w:val="auto"/>
                <w:szCs w:val="21"/>
                <w:highlight w:val="none"/>
              </w:rPr>
              <w:t>分；较好为</w:t>
            </w:r>
            <w:r>
              <w:rPr>
                <w:rFonts w:hint="eastAsia"/>
                <w:color w:val="auto"/>
                <w:szCs w:val="21"/>
                <w:highlight w:val="none"/>
                <w:lang w:val="en-US" w:eastAsia="zh-CN"/>
              </w:rPr>
              <w:t>3</w:t>
            </w:r>
            <w:r>
              <w:rPr>
                <w:color w:val="auto"/>
                <w:szCs w:val="21"/>
                <w:highlight w:val="none"/>
              </w:rPr>
              <w:t>～</w:t>
            </w:r>
            <w:r>
              <w:rPr>
                <w:rFonts w:hint="eastAsia"/>
                <w:color w:val="auto"/>
                <w:szCs w:val="21"/>
                <w:highlight w:val="none"/>
                <w:lang w:val="en-US" w:eastAsia="zh-CN"/>
              </w:rPr>
              <w:t>1</w:t>
            </w:r>
            <w:r>
              <w:rPr>
                <w:color w:val="auto"/>
                <w:szCs w:val="21"/>
                <w:highlight w:val="none"/>
              </w:rPr>
              <w:t>分；一般为</w:t>
            </w:r>
            <w:r>
              <w:rPr>
                <w:rFonts w:hint="eastAsia"/>
                <w:color w:val="auto"/>
                <w:szCs w:val="21"/>
                <w:highlight w:val="none"/>
                <w:lang w:val="en-US" w:eastAsia="zh-CN"/>
              </w:rPr>
              <w:t>1</w:t>
            </w:r>
            <w:r>
              <w:rPr>
                <w:color w:val="auto"/>
                <w:szCs w:val="21"/>
                <w:highlight w:val="none"/>
              </w:rPr>
              <w:t>～0分。</w:t>
            </w:r>
          </w:p>
        </w:tc>
        <w:tc>
          <w:tcPr>
            <w:tcW w:w="405" w:type="pct"/>
            <w:shd w:val="clear" w:color="auto" w:fill="auto"/>
            <w:vAlign w:val="center"/>
          </w:tcPr>
          <w:p w14:paraId="39E00695">
            <w:pPr>
              <w:widowControl/>
              <w:spacing w:line="360" w:lineRule="auto"/>
              <w:jc w:val="left"/>
              <w:rPr>
                <w:color w:val="auto"/>
                <w:szCs w:val="21"/>
                <w:highlight w:val="none"/>
              </w:rPr>
            </w:pPr>
          </w:p>
        </w:tc>
      </w:tr>
      <w:tr w14:paraId="7CB26EC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03A30CF2">
            <w:pPr>
              <w:spacing w:line="360" w:lineRule="auto"/>
              <w:jc w:val="center"/>
              <w:rPr>
                <w:color w:val="auto"/>
                <w:szCs w:val="21"/>
                <w:highlight w:val="none"/>
              </w:rPr>
            </w:pPr>
            <w:r>
              <w:rPr>
                <w:rFonts w:hint="eastAsia"/>
                <w:color w:val="auto"/>
                <w:szCs w:val="21"/>
                <w:highlight w:val="none"/>
              </w:rPr>
              <w:t>7</w:t>
            </w:r>
          </w:p>
        </w:tc>
        <w:tc>
          <w:tcPr>
            <w:tcW w:w="1075" w:type="pct"/>
            <w:shd w:val="clear" w:color="auto" w:fill="auto"/>
            <w:vAlign w:val="center"/>
          </w:tcPr>
          <w:p w14:paraId="21344FA5">
            <w:pPr>
              <w:spacing w:after="0" w:afterLines="-2147483648" w:line="240" w:lineRule="auto"/>
              <w:jc w:val="center"/>
              <w:rPr>
                <w:rFonts w:ascii="Calibri" w:hAnsi="Calibri" w:eastAsia="宋体" w:cs="Times New Roman"/>
                <w:color w:val="auto"/>
                <w:szCs w:val="21"/>
                <w:highlight w:val="none"/>
              </w:rPr>
            </w:pPr>
            <w:r>
              <w:rPr>
                <w:rFonts w:hint="eastAsia" w:ascii="宋体" w:hAnsi="宋体" w:cs="Times New Roman Regular"/>
                <w:color w:val="auto"/>
                <w:highlight w:val="none"/>
              </w:rPr>
              <w:t>售后服务方案</w:t>
            </w:r>
          </w:p>
        </w:tc>
        <w:tc>
          <w:tcPr>
            <w:tcW w:w="364" w:type="pct"/>
            <w:shd w:val="clear" w:color="auto" w:fill="auto"/>
            <w:vAlign w:val="center"/>
          </w:tcPr>
          <w:p w14:paraId="6EE03B77">
            <w:pPr>
              <w:spacing w:line="360" w:lineRule="auto"/>
              <w:jc w:val="center"/>
              <w:rPr>
                <w:rFonts w:hint="eastAsia" w:eastAsiaTheme="minorEastAsia"/>
                <w:color w:val="auto"/>
                <w:szCs w:val="21"/>
                <w:highlight w:val="none"/>
                <w:lang w:val="en-US" w:eastAsia="zh-CN"/>
              </w:rPr>
            </w:pPr>
            <w:r>
              <w:rPr>
                <w:rFonts w:hint="eastAsia"/>
                <w:color w:val="auto"/>
                <w:szCs w:val="21"/>
                <w:highlight w:val="none"/>
                <w:lang w:val="en-US" w:eastAsia="zh-CN"/>
              </w:rPr>
              <w:t>5</w:t>
            </w:r>
          </w:p>
        </w:tc>
        <w:tc>
          <w:tcPr>
            <w:tcW w:w="2856" w:type="pct"/>
            <w:shd w:val="clear" w:color="auto" w:fill="auto"/>
            <w:vAlign w:val="center"/>
          </w:tcPr>
          <w:p w14:paraId="2B562BDC">
            <w:pPr>
              <w:spacing w:after="60"/>
              <w:rPr>
                <w:rFonts w:hint="eastAsia" w:ascii="宋体" w:hAnsi="宋体" w:cs="Times New Roman Regular" w:eastAsiaTheme="minorEastAsia"/>
                <w:color w:val="auto"/>
                <w:highlight w:val="none"/>
                <w:lang w:eastAsia="zh-CN"/>
              </w:rPr>
            </w:pPr>
            <w:r>
              <w:rPr>
                <w:rFonts w:hint="eastAsia" w:ascii="宋体" w:hAnsi="宋体" w:cs="Times New Roman Regular"/>
                <w:color w:val="auto"/>
                <w:highlight w:val="none"/>
              </w:rPr>
              <w:t>提供详细的服务承诺、高质量服务、服务响应及处理时间快，提供质保期外详细全面的维保和优惠政策，以上内容提供齐全无缺漏（方案相关内容描述过于简单，不能详细表述方案思路、措施或内容描述与本项目关联性不强则该内容为无效描述，视同为缺漏）</w:t>
            </w:r>
            <w:r>
              <w:rPr>
                <w:rFonts w:hint="eastAsia" w:ascii="宋体" w:hAnsi="宋体" w:cs="Times New Roman Regular"/>
                <w:color w:val="auto"/>
                <w:highlight w:val="none"/>
                <w:lang w:eastAsia="zh-CN"/>
              </w:rPr>
              <w:t>。</w:t>
            </w:r>
            <w:r>
              <w:rPr>
                <w:color w:val="auto"/>
                <w:kern w:val="0"/>
                <w:szCs w:val="21"/>
                <w:highlight w:val="none"/>
              </w:rPr>
              <w:t>好为</w:t>
            </w:r>
            <w:r>
              <w:rPr>
                <w:rFonts w:hint="eastAsia"/>
                <w:color w:val="auto"/>
                <w:szCs w:val="21"/>
                <w:highlight w:val="none"/>
                <w:lang w:val="en-US" w:eastAsia="zh-CN"/>
              </w:rPr>
              <w:t>5</w:t>
            </w:r>
            <w:r>
              <w:rPr>
                <w:color w:val="auto"/>
                <w:szCs w:val="21"/>
                <w:highlight w:val="none"/>
              </w:rPr>
              <w:t>～</w:t>
            </w:r>
            <w:r>
              <w:rPr>
                <w:rFonts w:hint="eastAsia"/>
                <w:color w:val="auto"/>
                <w:szCs w:val="21"/>
                <w:highlight w:val="none"/>
                <w:lang w:val="en-US" w:eastAsia="zh-CN"/>
              </w:rPr>
              <w:t>3</w:t>
            </w:r>
            <w:r>
              <w:rPr>
                <w:color w:val="auto"/>
                <w:szCs w:val="21"/>
                <w:highlight w:val="none"/>
              </w:rPr>
              <w:t>分；较好为</w:t>
            </w:r>
            <w:r>
              <w:rPr>
                <w:rFonts w:hint="eastAsia"/>
                <w:color w:val="auto"/>
                <w:szCs w:val="21"/>
                <w:highlight w:val="none"/>
                <w:lang w:val="en-US" w:eastAsia="zh-CN"/>
              </w:rPr>
              <w:t>3</w:t>
            </w:r>
            <w:r>
              <w:rPr>
                <w:color w:val="auto"/>
                <w:szCs w:val="21"/>
                <w:highlight w:val="none"/>
              </w:rPr>
              <w:t>～</w:t>
            </w:r>
            <w:r>
              <w:rPr>
                <w:rFonts w:hint="eastAsia"/>
                <w:color w:val="auto"/>
                <w:szCs w:val="21"/>
                <w:highlight w:val="none"/>
                <w:lang w:val="en-US" w:eastAsia="zh-CN"/>
              </w:rPr>
              <w:t>1</w:t>
            </w:r>
            <w:r>
              <w:rPr>
                <w:color w:val="auto"/>
                <w:szCs w:val="21"/>
                <w:highlight w:val="none"/>
              </w:rPr>
              <w:t>分；一般为</w:t>
            </w:r>
            <w:r>
              <w:rPr>
                <w:rFonts w:hint="eastAsia"/>
                <w:color w:val="auto"/>
                <w:szCs w:val="21"/>
                <w:highlight w:val="none"/>
                <w:lang w:val="en-US" w:eastAsia="zh-CN"/>
              </w:rPr>
              <w:t>1</w:t>
            </w:r>
            <w:r>
              <w:rPr>
                <w:color w:val="auto"/>
                <w:szCs w:val="21"/>
                <w:highlight w:val="none"/>
              </w:rPr>
              <w:t>～0分。</w:t>
            </w:r>
          </w:p>
        </w:tc>
        <w:tc>
          <w:tcPr>
            <w:tcW w:w="405" w:type="pct"/>
            <w:shd w:val="clear" w:color="auto" w:fill="auto"/>
            <w:vAlign w:val="center"/>
          </w:tcPr>
          <w:p w14:paraId="23DD527E">
            <w:pPr>
              <w:widowControl/>
              <w:spacing w:line="360" w:lineRule="auto"/>
              <w:jc w:val="left"/>
              <w:rPr>
                <w:color w:val="auto"/>
                <w:szCs w:val="21"/>
                <w:highlight w:val="none"/>
              </w:rPr>
            </w:pPr>
          </w:p>
        </w:tc>
      </w:tr>
      <w:tr w14:paraId="2F0AD5D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72568B1F">
            <w:pPr>
              <w:widowControl/>
              <w:spacing w:line="360" w:lineRule="auto"/>
              <w:jc w:val="center"/>
              <w:rPr>
                <w:color w:val="auto"/>
                <w:szCs w:val="21"/>
                <w:highlight w:val="none"/>
                <w:lang w:bidi="ar"/>
              </w:rPr>
            </w:pPr>
            <w:r>
              <w:rPr>
                <w:rFonts w:hint="eastAsia"/>
                <w:color w:val="auto"/>
                <w:szCs w:val="21"/>
                <w:highlight w:val="none"/>
                <w:lang w:bidi="ar"/>
              </w:rPr>
              <w:t>二</w:t>
            </w:r>
          </w:p>
        </w:tc>
        <w:tc>
          <w:tcPr>
            <w:tcW w:w="1075" w:type="pct"/>
            <w:shd w:val="clear" w:color="auto" w:fill="auto"/>
            <w:vAlign w:val="center"/>
          </w:tcPr>
          <w:p w14:paraId="48560441">
            <w:pPr>
              <w:widowControl/>
              <w:spacing w:line="360" w:lineRule="auto"/>
              <w:jc w:val="center"/>
              <w:rPr>
                <w:color w:val="auto"/>
                <w:szCs w:val="21"/>
                <w:highlight w:val="none"/>
                <w:lang w:bidi="ar"/>
              </w:rPr>
            </w:pPr>
            <w:r>
              <w:rPr>
                <w:rFonts w:hint="eastAsia"/>
                <w:color w:val="auto"/>
                <w:szCs w:val="21"/>
                <w:highlight w:val="none"/>
              </w:rPr>
              <w:t>商务报价评审</w:t>
            </w:r>
          </w:p>
        </w:tc>
        <w:tc>
          <w:tcPr>
            <w:tcW w:w="364" w:type="pct"/>
            <w:shd w:val="clear" w:color="auto" w:fill="auto"/>
            <w:vAlign w:val="center"/>
          </w:tcPr>
          <w:p w14:paraId="5C8CB13D">
            <w:pPr>
              <w:widowControl/>
              <w:spacing w:line="360" w:lineRule="auto"/>
              <w:jc w:val="center"/>
              <w:rPr>
                <w:color w:val="auto"/>
                <w:szCs w:val="21"/>
                <w:highlight w:val="none"/>
                <w:lang w:bidi="ar"/>
              </w:rPr>
            </w:pPr>
            <w:r>
              <w:rPr>
                <w:rFonts w:hint="eastAsia"/>
                <w:color w:val="auto"/>
                <w:szCs w:val="21"/>
                <w:highlight w:val="none"/>
                <w:lang w:bidi="ar"/>
              </w:rPr>
              <w:t>30</w:t>
            </w:r>
          </w:p>
        </w:tc>
        <w:tc>
          <w:tcPr>
            <w:tcW w:w="2856" w:type="pct"/>
            <w:shd w:val="clear" w:color="auto" w:fill="auto"/>
            <w:vAlign w:val="center"/>
          </w:tcPr>
          <w:p w14:paraId="097CDF54">
            <w:pPr>
              <w:widowControl/>
              <w:spacing w:line="360" w:lineRule="auto"/>
              <w:jc w:val="left"/>
              <w:rPr>
                <w:color w:val="auto"/>
                <w:szCs w:val="21"/>
                <w:highlight w:val="none"/>
                <w:lang w:bidi="ar"/>
              </w:rPr>
            </w:pPr>
            <w:r>
              <w:rPr>
                <w:rFonts w:hint="eastAsia"/>
                <w:color w:val="auto"/>
                <w:szCs w:val="21"/>
                <w:highlight w:val="none"/>
                <w:lang w:bidi="ar"/>
              </w:rPr>
              <w:t>评标基准价计算：算术平均值。</w:t>
            </w:r>
          </w:p>
        </w:tc>
        <w:tc>
          <w:tcPr>
            <w:tcW w:w="405" w:type="pct"/>
            <w:shd w:val="clear" w:color="auto" w:fill="auto"/>
            <w:vAlign w:val="center"/>
          </w:tcPr>
          <w:p w14:paraId="0D77EAB0">
            <w:pPr>
              <w:widowControl/>
              <w:spacing w:line="360" w:lineRule="auto"/>
              <w:jc w:val="left"/>
              <w:rPr>
                <w:color w:val="auto"/>
                <w:szCs w:val="21"/>
                <w:highlight w:val="none"/>
                <w:lang w:bidi="ar"/>
              </w:rPr>
            </w:pPr>
          </w:p>
        </w:tc>
      </w:tr>
      <w:tr w14:paraId="3126F2C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68EDB726">
            <w:pPr>
              <w:widowControl/>
              <w:spacing w:line="360" w:lineRule="auto"/>
              <w:jc w:val="center"/>
              <w:rPr>
                <w:color w:val="auto"/>
                <w:szCs w:val="21"/>
                <w:highlight w:val="none"/>
                <w:lang w:bidi="ar"/>
              </w:rPr>
            </w:pPr>
            <w:r>
              <w:rPr>
                <w:rFonts w:hint="eastAsia"/>
                <w:color w:val="auto"/>
                <w:szCs w:val="21"/>
                <w:highlight w:val="none"/>
                <w:lang w:bidi="ar"/>
              </w:rPr>
              <w:t>1</w:t>
            </w:r>
          </w:p>
        </w:tc>
        <w:tc>
          <w:tcPr>
            <w:tcW w:w="1075" w:type="pct"/>
            <w:shd w:val="clear" w:color="auto" w:fill="auto"/>
            <w:vAlign w:val="center"/>
          </w:tcPr>
          <w:p w14:paraId="72E13427">
            <w:pPr>
              <w:widowControl/>
              <w:spacing w:line="360" w:lineRule="auto"/>
              <w:jc w:val="center"/>
              <w:rPr>
                <w:color w:val="auto"/>
                <w:szCs w:val="21"/>
                <w:highlight w:val="none"/>
              </w:rPr>
            </w:pPr>
            <w:r>
              <w:rPr>
                <w:rFonts w:hint="eastAsia"/>
                <w:color w:val="auto"/>
                <w:szCs w:val="21"/>
                <w:highlight w:val="none"/>
                <w:lang w:bidi="ar"/>
              </w:rPr>
              <w:t>投标报价得分</w:t>
            </w:r>
          </w:p>
        </w:tc>
        <w:tc>
          <w:tcPr>
            <w:tcW w:w="364" w:type="pct"/>
            <w:shd w:val="clear" w:color="auto" w:fill="auto"/>
            <w:vAlign w:val="center"/>
          </w:tcPr>
          <w:p w14:paraId="5CD190FA">
            <w:pPr>
              <w:widowControl/>
              <w:spacing w:line="360" w:lineRule="auto"/>
              <w:jc w:val="center"/>
              <w:rPr>
                <w:color w:val="auto"/>
                <w:szCs w:val="21"/>
                <w:highlight w:val="none"/>
                <w:lang w:bidi="ar"/>
              </w:rPr>
            </w:pPr>
            <w:r>
              <w:rPr>
                <w:rFonts w:hint="eastAsia"/>
                <w:color w:val="auto"/>
                <w:szCs w:val="21"/>
                <w:highlight w:val="none"/>
                <w:lang w:bidi="ar"/>
              </w:rPr>
              <w:t>30</w:t>
            </w:r>
          </w:p>
        </w:tc>
        <w:tc>
          <w:tcPr>
            <w:tcW w:w="2856" w:type="pct"/>
            <w:shd w:val="clear" w:color="auto" w:fill="auto"/>
            <w:vAlign w:val="center"/>
          </w:tcPr>
          <w:p w14:paraId="24A62BE3">
            <w:pPr>
              <w:widowControl/>
              <w:spacing w:line="360" w:lineRule="auto"/>
              <w:jc w:val="left"/>
              <w:rPr>
                <w:color w:val="auto"/>
                <w:szCs w:val="21"/>
                <w:highlight w:val="none"/>
                <w:lang w:bidi="ar"/>
              </w:rPr>
            </w:pPr>
            <w:r>
              <w:rPr>
                <w:rFonts w:hint="eastAsia"/>
                <w:color w:val="auto"/>
                <w:szCs w:val="21"/>
                <w:highlight w:val="none"/>
                <w:lang w:bidi="ar"/>
              </w:rPr>
              <w:t>（1）评标基准价：所有投标报价的算术平均值。</w:t>
            </w:r>
          </w:p>
          <w:p w14:paraId="2C6F159A">
            <w:pPr>
              <w:widowControl/>
              <w:spacing w:line="360" w:lineRule="auto"/>
              <w:jc w:val="left"/>
              <w:rPr>
                <w:color w:val="auto"/>
                <w:szCs w:val="21"/>
                <w:highlight w:val="none"/>
                <w:lang w:bidi="ar"/>
              </w:rPr>
            </w:pPr>
            <w:r>
              <w:rPr>
                <w:rFonts w:hint="eastAsia"/>
                <w:color w:val="auto"/>
                <w:szCs w:val="21"/>
                <w:highlight w:val="none"/>
                <w:lang w:bidi="ar"/>
              </w:rPr>
              <w:t>（2）当投标报价与评标基准价相同时，商务报价得分为满分，得30分。各投标单位的有效报价比基准价每增加1%，得分减1分，最低得0分；每减少1%，得分减0.5分，最低得0分。（得分保留小数点后两位，小数点后保留值按四舍五入方式取舍）。</w:t>
            </w:r>
          </w:p>
        </w:tc>
        <w:tc>
          <w:tcPr>
            <w:tcW w:w="405" w:type="pct"/>
            <w:shd w:val="clear" w:color="auto" w:fill="auto"/>
            <w:vAlign w:val="center"/>
          </w:tcPr>
          <w:p w14:paraId="12C99538">
            <w:pPr>
              <w:widowControl/>
              <w:spacing w:line="360" w:lineRule="auto"/>
              <w:jc w:val="left"/>
              <w:rPr>
                <w:color w:val="auto"/>
                <w:szCs w:val="21"/>
                <w:highlight w:val="none"/>
                <w:lang w:bidi="ar"/>
              </w:rPr>
            </w:pPr>
          </w:p>
        </w:tc>
      </w:tr>
      <w:tr w14:paraId="4FC26B8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2D82F498">
            <w:pPr>
              <w:widowControl/>
              <w:spacing w:line="360" w:lineRule="auto"/>
              <w:jc w:val="center"/>
              <w:rPr>
                <w:color w:val="auto"/>
                <w:szCs w:val="21"/>
                <w:highlight w:val="none"/>
                <w:lang w:bidi="ar"/>
              </w:rPr>
            </w:pPr>
            <w:r>
              <w:rPr>
                <w:rFonts w:hint="eastAsia"/>
                <w:color w:val="auto"/>
                <w:szCs w:val="21"/>
                <w:highlight w:val="none"/>
                <w:lang w:bidi="ar"/>
              </w:rPr>
              <w:t>三</w:t>
            </w:r>
          </w:p>
        </w:tc>
        <w:tc>
          <w:tcPr>
            <w:tcW w:w="1075" w:type="pct"/>
            <w:shd w:val="clear" w:color="auto" w:fill="auto"/>
            <w:vAlign w:val="center"/>
          </w:tcPr>
          <w:p w14:paraId="61C95448">
            <w:pPr>
              <w:widowControl/>
              <w:spacing w:line="360" w:lineRule="auto"/>
              <w:jc w:val="center"/>
              <w:rPr>
                <w:color w:val="auto"/>
                <w:szCs w:val="21"/>
                <w:highlight w:val="none"/>
                <w:lang w:bidi="ar"/>
              </w:rPr>
            </w:pPr>
            <w:r>
              <w:rPr>
                <w:rFonts w:hint="eastAsia"/>
                <w:color w:val="auto"/>
                <w:szCs w:val="21"/>
                <w:highlight w:val="none"/>
              </w:rPr>
              <w:t>资信部分评审</w:t>
            </w:r>
          </w:p>
        </w:tc>
        <w:tc>
          <w:tcPr>
            <w:tcW w:w="364" w:type="pct"/>
            <w:shd w:val="clear" w:color="auto" w:fill="auto"/>
            <w:vAlign w:val="center"/>
          </w:tcPr>
          <w:p w14:paraId="284E691C">
            <w:pPr>
              <w:widowControl/>
              <w:spacing w:line="360" w:lineRule="auto"/>
              <w:jc w:val="center"/>
              <w:rPr>
                <w:color w:val="auto"/>
                <w:szCs w:val="21"/>
                <w:highlight w:val="none"/>
                <w:lang w:bidi="ar"/>
              </w:rPr>
            </w:pPr>
            <w:r>
              <w:rPr>
                <w:rFonts w:hint="eastAsia"/>
                <w:color w:val="auto"/>
                <w:szCs w:val="21"/>
                <w:highlight w:val="none"/>
                <w:lang w:bidi="ar"/>
              </w:rPr>
              <w:t>10</w:t>
            </w:r>
          </w:p>
        </w:tc>
        <w:tc>
          <w:tcPr>
            <w:tcW w:w="2856" w:type="pct"/>
            <w:shd w:val="clear" w:color="auto" w:fill="auto"/>
            <w:vAlign w:val="center"/>
          </w:tcPr>
          <w:p w14:paraId="7CFB318C">
            <w:pPr>
              <w:widowControl/>
              <w:spacing w:line="360" w:lineRule="auto"/>
              <w:jc w:val="left"/>
              <w:rPr>
                <w:color w:val="auto"/>
                <w:szCs w:val="21"/>
                <w:highlight w:val="none"/>
                <w:lang w:bidi="ar"/>
              </w:rPr>
            </w:pPr>
          </w:p>
        </w:tc>
        <w:tc>
          <w:tcPr>
            <w:tcW w:w="405" w:type="pct"/>
            <w:shd w:val="clear" w:color="auto" w:fill="auto"/>
            <w:vAlign w:val="center"/>
          </w:tcPr>
          <w:p w14:paraId="20179AC7">
            <w:pPr>
              <w:widowControl/>
              <w:spacing w:line="360" w:lineRule="auto"/>
              <w:jc w:val="left"/>
              <w:rPr>
                <w:color w:val="auto"/>
                <w:szCs w:val="21"/>
                <w:highlight w:val="none"/>
                <w:lang w:bidi="ar"/>
              </w:rPr>
            </w:pPr>
          </w:p>
        </w:tc>
      </w:tr>
      <w:tr w14:paraId="14ECC77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0A57B9AF">
            <w:pPr>
              <w:spacing w:line="360" w:lineRule="auto"/>
              <w:jc w:val="center"/>
              <w:rPr>
                <w:color w:val="auto"/>
                <w:szCs w:val="21"/>
                <w:highlight w:val="none"/>
              </w:rPr>
            </w:pPr>
            <w:r>
              <w:rPr>
                <w:color w:val="auto"/>
                <w:szCs w:val="21"/>
                <w:highlight w:val="none"/>
              </w:rPr>
              <w:t>1</w:t>
            </w:r>
          </w:p>
        </w:tc>
        <w:tc>
          <w:tcPr>
            <w:tcW w:w="1075" w:type="pct"/>
            <w:shd w:val="clear" w:color="auto" w:fill="auto"/>
            <w:vAlign w:val="center"/>
          </w:tcPr>
          <w:p w14:paraId="627B1682">
            <w:pPr>
              <w:spacing w:line="360" w:lineRule="auto"/>
              <w:jc w:val="center"/>
              <w:rPr>
                <w:color w:val="auto"/>
                <w:szCs w:val="21"/>
                <w:highlight w:val="none"/>
              </w:rPr>
            </w:pPr>
            <w:r>
              <w:rPr>
                <w:rFonts w:hint="eastAsia"/>
                <w:color w:val="auto"/>
                <w:szCs w:val="21"/>
                <w:highlight w:val="none"/>
              </w:rPr>
              <w:t>颁发的证书量</w:t>
            </w:r>
          </w:p>
        </w:tc>
        <w:tc>
          <w:tcPr>
            <w:tcW w:w="364" w:type="pct"/>
            <w:shd w:val="clear" w:color="auto" w:fill="auto"/>
            <w:vAlign w:val="center"/>
          </w:tcPr>
          <w:p w14:paraId="271B7250">
            <w:pPr>
              <w:spacing w:line="360" w:lineRule="auto"/>
              <w:jc w:val="center"/>
              <w:rPr>
                <w:color w:val="auto"/>
                <w:szCs w:val="21"/>
                <w:highlight w:val="none"/>
              </w:rPr>
            </w:pPr>
            <w:r>
              <w:rPr>
                <w:color w:val="auto"/>
                <w:szCs w:val="21"/>
                <w:highlight w:val="none"/>
              </w:rPr>
              <w:t>2</w:t>
            </w:r>
          </w:p>
        </w:tc>
        <w:tc>
          <w:tcPr>
            <w:tcW w:w="2856" w:type="pct"/>
            <w:shd w:val="clear" w:color="auto" w:fill="auto"/>
            <w:vAlign w:val="center"/>
          </w:tcPr>
          <w:p w14:paraId="62FD2EEB">
            <w:pPr>
              <w:spacing w:line="360" w:lineRule="auto"/>
              <w:jc w:val="left"/>
              <w:rPr>
                <w:color w:val="auto"/>
                <w:szCs w:val="21"/>
                <w:highlight w:val="none"/>
                <w:lang w:bidi="mn-Mong-CN"/>
              </w:rPr>
            </w:pPr>
            <w:r>
              <w:rPr>
                <w:rFonts w:hint="eastAsia"/>
                <w:color w:val="auto"/>
                <w:szCs w:val="21"/>
                <w:highlight w:val="none"/>
              </w:rPr>
              <w:t>颁发的证书量至少在1万张以上，需提供全国认证认可信息公共服务平台查询证明</w:t>
            </w:r>
            <w:r>
              <w:rPr>
                <w:color w:val="auto"/>
                <w:szCs w:val="21"/>
                <w:highlight w:val="none"/>
              </w:rPr>
              <w:t>。</w:t>
            </w:r>
            <w:r>
              <w:rPr>
                <w:rFonts w:hint="eastAsia"/>
                <w:color w:val="auto"/>
                <w:kern w:val="0"/>
                <w:szCs w:val="21"/>
                <w:highlight w:val="none"/>
              </w:rPr>
              <w:t>1万张以上2分，1万张以下0分。</w:t>
            </w:r>
          </w:p>
        </w:tc>
        <w:tc>
          <w:tcPr>
            <w:tcW w:w="405" w:type="pct"/>
            <w:shd w:val="clear" w:color="auto" w:fill="auto"/>
            <w:vAlign w:val="center"/>
          </w:tcPr>
          <w:p w14:paraId="25FDCEA1">
            <w:pPr>
              <w:widowControl/>
              <w:spacing w:line="360" w:lineRule="auto"/>
              <w:jc w:val="left"/>
              <w:rPr>
                <w:color w:val="auto"/>
                <w:szCs w:val="21"/>
                <w:highlight w:val="none"/>
              </w:rPr>
            </w:pPr>
          </w:p>
        </w:tc>
      </w:tr>
      <w:tr w14:paraId="1314428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blCellSpacing w:w="0" w:type="dxa"/>
        </w:trPr>
        <w:tc>
          <w:tcPr>
            <w:tcW w:w="296" w:type="pct"/>
            <w:shd w:val="clear" w:color="auto" w:fill="auto"/>
            <w:vAlign w:val="center"/>
          </w:tcPr>
          <w:p w14:paraId="09BCA475">
            <w:pPr>
              <w:widowControl/>
              <w:spacing w:line="360" w:lineRule="auto"/>
              <w:jc w:val="center"/>
              <w:rPr>
                <w:color w:val="auto"/>
                <w:szCs w:val="21"/>
                <w:highlight w:val="none"/>
                <w:lang w:bidi="ar"/>
              </w:rPr>
            </w:pPr>
            <w:r>
              <w:rPr>
                <w:color w:val="auto"/>
                <w:szCs w:val="21"/>
                <w:highlight w:val="none"/>
                <w:lang w:bidi="ar"/>
              </w:rPr>
              <w:t>2</w:t>
            </w:r>
          </w:p>
        </w:tc>
        <w:tc>
          <w:tcPr>
            <w:tcW w:w="1075" w:type="pct"/>
            <w:shd w:val="clear" w:color="auto" w:fill="auto"/>
            <w:vAlign w:val="center"/>
          </w:tcPr>
          <w:p w14:paraId="2366ED14">
            <w:pPr>
              <w:spacing w:line="360" w:lineRule="auto"/>
              <w:jc w:val="center"/>
              <w:rPr>
                <w:color w:val="auto"/>
                <w:szCs w:val="21"/>
                <w:highlight w:val="none"/>
              </w:rPr>
            </w:pPr>
            <w:r>
              <w:rPr>
                <w:bCs/>
                <w:color w:val="auto"/>
                <w:szCs w:val="21"/>
                <w:highlight w:val="none"/>
              </w:rPr>
              <w:t>类似项目经验</w:t>
            </w:r>
          </w:p>
        </w:tc>
        <w:tc>
          <w:tcPr>
            <w:tcW w:w="364" w:type="pct"/>
            <w:shd w:val="clear" w:color="auto" w:fill="auto"/>
            <w:vAlign w:val="center"/>
          </w:tcPr>
          <w:p w14:paraId="1CC90CA7">
            <w:pPr>
              <w:widowControl/>
              <w:spacing w:line="360" w:lineRule="auto"/>
              <w:jc w:val="center"/>
              <w:rPr>
                <w:color w:val="auto"/>
                <w:szCs w:val="21"/>
                <w:highlight w:val="none"/>
              </w:rPr>
            </w:pPr>
            <w:r>
              <w:rPr>
                <w:color w:val="auto"/>
                <w:szCs w:val="21"/>
                <w:highlight w:val="none"/>
              </w:rPr>
              <w:t>8</w:t>
            </w:r>
          </w:p>
        </w:tc>
        <w:tc>
          <w:tcPr>
            <w:tcW w:w="2856" w:type="pct"/>
            <w:shd w:val="clear" w:color="auto" w:fill="auto"/>
            <w:vAlign w:val="center"/>
          </w:tcPr>
          <w:p w14:paraId="356E67BB">
            <w:pPr>
              <w:widowControl/>
              <w:spacing w:line="360" w:lineRule="auto"/>
              <w:jc w:val="left"/>
              <w:rPr>
                <w:color w:val="auto"/>
                <w:szCs w:val="21"/>
                <w:highlight w:val="none"/>
              </w:rPr>
            </w:pPr>
            <w:r>
              <w:rPr>
                <w:rFonts w:hint="eastAsia"/>
                <w:color w:val="auto"/>
                <w:highlight w:val="none"/>
              </w:rPr>
              <w:t>具有从事央国企提供咨询服务及进行认证服务工作经验，近五年（2020年1月1日-至今）具有类似业绩（须提供合同复印件并加盖公章）</w:t>
            </w:r>
            <w:r>
              <w:rPr>
                <w:color w:val="auto"/>
                <w:highlight w:val="none"/>
              </w:rPr>
              <w:t>。投标人每提供1个</w:t>
            </w:r>
            <w:r>
              <w:rPr>
                <w:rFonts w:hint="eastAsia"/>
                <w:color w:val="auto"/>
                <w:highlight w:val="none"/>
              </w:rPr>
              <w:t>从事央国企提供咨询服务及进行认证服务的工作证明材料得2分，</w:t>
            </w:r>
            <w:r>
              <w:rPr>
                <w:color w:val="auto"/>
                <w:highlight w:val="none"/>
              </w:rPr>
              <w:t>最多为</w:t>
            </w:r>
            <w:r>
              <w:rPr>
                <w:rFonts w:hint="eastAsia"/>
                <w:color w:val="auto"/>
                <w:highlight w:val="none"/>
                <w:lang w:val="en-US" w:eastAsia="zh-CN"/>
              </w:rPr>
              <w:t>8</w:t>
            </w:r>
            <w:r>
              <w:rPr>
                <w:color w:val="auto"/>
                <w:highlight w:val="none"/>
              </w:rPr>
              <w:t>分。</w:t>
            </w:r>
          </w:p>
        </w:tc>
        <w:tc>
          <w:tcPr>
            <w:tcW w:w="405" w:type="pct"/>
            <w:shd w:val="clear" w:color="auto" w:fill="auto"/>
            <w:vAlign w:val="center"/>
          </w:tcPr>
          <w:p w14:paraId="5C85ED37">
            <w:pPr>
              <w:widowControl/>
              <w:spacing w:line="360" w:lineRule="auto"/>
              <w:jc w:val="left"/>
              <w:rPr>
                <w:color w:val="auto"/>
                <w:szCs w:val="21"/>
                <w:highlight w:val="none"/>
                <w:lang w:bidi="ar"/>
              </w:rPr>
            </w:pPr>
          </w:p>
        </w:tc>
      </w:tr>
    </w:tbl>
    <w:p w14:paraId="5D4DA4B9">
      <w:pPr>
        <w:adjustRightInd w:val="0"/>
        <w:snapToGrid w:val="0"/>
        <w:spacing w:line="560" w:lineRule="exact"/>
        <w:jc w:val="center"/>
        <w:rPr>
          <w:rFonts w:hint="eastAsia" w:ascii="黑体" w:hAnsi="黑体" w:eastAsia="黑体" w:cs="Times New Roman"/>
          <w:color w:val="auto"/>
          <w:sz w:val="32"/>
          <w:szCs w:val="32"/>
          <w:highlight w:val="none"/>
        </w:rPr>
      </w:pPr>
    </w:p>
    <w:p w14:paraId="2A9F9367">
      <w:pPr>
        <w:adjustRightInd w:val="0"/>
        <w:snapToGrid w:val="0"/>
        <w:spacing w:line="560" w:lineRule="exact"/>
        <w:jc w:val="center"/>
        <w:rPr>
          <w:rFonts w:hint="eastAsia" w:ascii="黑体" w:hAnsi="黑体" w:eastAsia="黑体" w:cs="Times New Roman"/>
          <w:color w:val="auto"/>
          <w:sz w:val="32"/>
          <w:szCs w:val="32"/>
          <w:highlight w:val="none"/>
        </w:rPr>
      </w:pPr>
    </w:p>
    <w:p w14:paraId="474C7B86">
      <w:pPr>
        <w:adjustRightInd w:val="0"/>
        <w:snapToGrid w:val="0"/>
        <w:spacing w:line="560" w:lineRule="exact"/>
        <w:jc w:val="center"/>
        <w:rPr>
          <w:rFonts w:hint="eastAsia" w:ascii="黑体" w:hAnsi="黑体" w:eastAsia="黑体" w:cs="Times New Roman"/>
          <w:color w:val="auto"/>
          <w:sz w:val="32"/>
          <w:szCs w:val="32"/>
          <w:highlight w:val="none"/>
        </w:rPr>
      </w:pPr>
    </w:p>
    <w:p w14:paraId="786A77FF">
      <w:pPr>
        <w:adjustRightInd w:val="0"/>
        <w:snapToGrid w:val="0"/>
        <w:spacing w:line="560" w:lineRule="exact"/>
        <w:jc w:val="center"/>
        <w:rPr>
          <w:rFonts w:hint="eastAsia" w:ascii="黑体" w:hAnsi="黑体" w:eastAsia="黑体" w:cs="Times New Roman"/>
          <w:color w:val="auto"/>
          <w:sz w:val="32"/>
          <w:szCs w:val="32"/>
          <w:highlight w:val="none"/>
        </w:rPr>
      </w:pPr>
    </w:p>
    <w:p w14:paraId="75723D8C">
      <w:pPr>
        <w:adjustRightInd w:val="0"/>
        <w:snapToGrid w:val="0"/>
        <w:spacing w:line="560" w:lineRule="exact"/>
        <w:jc w:val="center"/>
        <w:rPr>
          <w:rFonts w:hint="eastAsia" w:ascii="黑体" w:hAnsi="黑体" w:eastAsia="黑体" w:cs="Times New Roman"/>
          <w:color w:val="auto"/>
          <w:sz w:val="32"/>
          <w:szCs w:val="32"/>
          <w:highlight w:val="none"/>
        </w:rPr>
      </w:pPr>
    </w:p>
    <w:p w14:paraId="05484546">
      <w:pPr>
        <w:adjustRightInd w:val="0"/>
        <w:snapToGrid w:val="0"/>
        <w:spacing w:line="560" w:lineRule="exact"/>
        <w:jc w:val="center"/>
        <w:rPr>
          <w:rFonts w:hint="eastAsia" w:ascii="黑体" w:hAnsi="黑体" w:eastAsia="黑体" w:cs="Times New Roman"/>
          <w:color w:val="auto"/>
          <w:sz w:val="32"/>
          <w:szCs w:val="32"/>
          <w:highlight w:val="none"/>
        </w:rPr>
      </w:pPr>
    </w:p>
    <w:p w14:paraId="12B4968F">
      <w:pPr>
        <w:adjustRightInd w:val="0"/>
        <w:snapToGrid w:val="0"/>
        <w:spacing w:line="560" w:lineRule="exact"/>
        <w:jc w:val="center"/>
        <w:rPr>
          <w:rFonts w:hint="eastAsia" w:ascii="黑体" w:hAnsi="黑体" w:eastAsia="黑体" w:cs="Times New Roman"/>
          <w:color w:val="auto"/>
          <w:sz w:val="32"/>
          <w:szCs w:val="32"/>
          <w:highlight w:val="none"/>
        </w:rPr>
      </w:pPr>
    </w:p>
    <w:p w14:paraId="5EF9FE18">
      <w:pPr>
        <w:adjustRightInd w:val="0"/>
        <w:snapToGrid w:val="0"/>
        <w:spacing w:line="560" w:lineRule="exact"/>
        <w:jc w:val="center"/>
        <w:rPr>
          <w:rFonts w:hint="eastAsia" w:ascii="黑体" w:hAnsi="黑体" w:eastAsia="黑体" w:cs="Times New Roman"/>
          <w:color w:val="auto"/>
          <w:sz w:val="32"/>
          <w:szCs w:val="32"/>
          <w:highlight w:val="none"/>
        </w:rPr>
      </w:pPr>
    </w:p>
    <w:p w14:paraId="17AFDC6A">
      <w:pPr>
        <w:adjustRightInd w:val="0"/>
        <w:snapToGrid w:val="0"/>
        <w:spacing w:line="560" w:lineRule="exact"/>
        <w:jc w:val="center"/>
        <w:rPr>
          <w:rFonts w:hint="eastAsia" w:ascii="黑体" w:hAnsi="黑体" w:eastAsia="黑体" w:cs="Times New Roman"/>
          <w:color w:val="auto"/>
          <w:sz w:val="32"/>
          <w:szCs w:val="32"/>
          <w:highlight w:val="none"/>
        </w:rPr>
      </w:pPr>
    </w:p>
    <w:p w14:paraId="0BFAC51D">
      <w:pPr>
        <w:adjustRightInd w:val="0"/>
        <w:snapToGrid w:val="0"/>
        <w:spacing w:line="560" w:lineRule="exact"/>
        <w:jc w:val="center"/>
        <w:rPr>
          <w:rFonts w:hint="eastAsia" w:ascii="黑体" w:hAnsi="黑体" w:eastAsia="黑体" w:cs="Times New Roman"/>
          <w:color w:val="auto"/>
          <w:sz w:val="32"/>
          <w:szCs w:val="32"/>
          <w:highlight w:val="none"/>
        </w:rPr>
      </w:pPr>
    </w:p>
    <w:p w14:paraId="07AB2EB6">
      <w:pPr>
        <w:adjustRightInd w:val="0"/>
        <w:snapToGrid w:val="0"/>
        <w:spacing w:line="560" w:lineRule="exact"/>
        <w:jc w:val="center"/>
        <w:rPr>
          <w:rFonts w:hint="eastAsia" w:ascii="黑体" w:hAnsi="黑体" w:eastAsia="黑体" w:cs="Times New Roman"/>
          <w:color w:val="auto"/>
          <w:sz w:val="32"/>
          <w:szCs w:val="32"/>
          <w:highlight w:val="none"/>
        </w:rPr>
      </w:pPr>
    </w:p>
    <w:p w14:paraId="79690169">
      <w:pPr>
        <w:adjustRightInd w:val="0"/>
        <w:snapToGrid w:val="0"/>
        <w:spacing w:line="560" w:lineRule="exact"/>
        <w:jc w:val="center"/>
        <w:rPr>
          <w:rFonts w:hint="eastAsia" w:ascii="黑体" w:hAnsi="黑体" w:eastAsia="黑体" w:cs="Times New Roman"/>
          <w:color w:val="auto"/>
          <w:sz w:val="32"/>
          <w:szCs w:val="32"/>
          <w:highlight w:val="none"/>
        </w:rPr>
      </w:pPr>
    </w:p>
    <w:p w14:paraId="3BC1A69F">
      <w:pPr>
        <w:adjustRightInd w:val="0"/>
        <w:snapToGrid w:val="0"/>
        <w:spacing w:line="560" w:lineRule="exact"/>
        <w:jc w:val="center"/>
        <w:rPr>
          <w:rFonts w:hint="eastAsia" w:ascii="黑体" w:hAnsi="黑体" w:eastAsia="黑体" w:cs="Times New Roman"/>
          <w:color w:val="auto"/>
          <w:sz w:val="32"/>
          <w:szCs w:val="32"/>
          <w:highlight w:val="none"/>
        </w:rPr>
      </w:pPr>
    </w:p>
    <w:p w14:paraId="72B718B9">
      <w:pPr>
        <w:adjustRightInd w:val="0"/>
        <w:snapToGrid w:val="0"/>
        <w:spacing w:line="560" w:lineRule="exact"/>
        <w:jc w:val="center"/>
        <w:rPr>
          <w:rFonts w:hint="eastAsia" w:ascii="黑体" w:hAnsi="黑体" w:eastAsia="黑体" w:cs="Times New Roman"/>
          <w:color w:val="auto"/>
          <w:sz w:val="32"/>
          <w:szCs w:val="32"/>
          <w:highlight w:val="none"/>
        </w:rPr>
      </w:pPr>
    </w:p>
    <w:p w14:paraId="5D51DBE1">
      <w:pPr>
        <w:adjustRightInd w:val="0"/>
        <w:snapToGrid w:val="0"/>
        <w:spacing w:line="560" w:lineRule="exact"/>
        <w:jc w:val="center"/>
        <w:rPr>
          <w:rFonts w:hint="eastAsia" w:ascii="黑体" w:hAnsi="黑体" w:eastAsia="黑体" w:cs="Times New Roman"/>
          <w:color w:val="auto"/>
          <w:sz w:val="32"/>
          <w:szCs w:val="32"/>
          <w:highlight w:val="none"/>
        </w:rPr>
      </w:pPr>
    </w:p>
    <w:p w14:paraId="0DAE8B56">
      <w:pPr>
        <w:adjustRightInd w:val="0"/>
        <w:snapToGrid w:val="0"/>
        <w:spacing w:line="560" w:lineRule="exact"/>
        <w:jc w:val="center"/>
        <w:rPr>
          <w:rFonts w:hint="eastAsia" w:ascii="黑体" w:hAnsi="黑体" w:eastAsia="黑体" w:cs="Times New Roman"/>
          <w:color w:val="auto"/>
          <w:sz w:val="32"/>
          <w:szCs w:val="32"/>
          <w:highlight w:val="none"/>
        </w:rPr>
      </w:pPr>
    </w:p>
    <w:p w14:paraId="2A80A7DC">
      <w:pPr>
        <w:adjustRightInd w:val="0"/>
        <w:snapToGrid w:val="0"/>
        <w:spacing w:line="560" w:lineRule="exact"/>
        <w:jc w:val="center"/>
        <w:rPr>
          <w:rFonts w:hint="eastAsia" w:ascii="黑体" w:hAnsi="黑体" w:eastAsia="黑体" w:cs="Times New Roman"/>
          <w:color w:val="auto"/>
          <w:sz w:val="32"/>
          <w:szCs w:val="32"/>
          <w:highlight w:val="none"/>
        </w:rPr>
      </w:pPr>
    </w:p>
    <w:p w14:paraId="538030C7">
      <w:pPr>
        <w:adjustRightInd w:val="0"/>
        <w:snapToGrid w:val="0"/>
        <w:spacing w:line="560" w:lineRule="exact"/>
        <w:jc w:val="center"/>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项目需求书</w:t>
      </w:r>
    </w:p>
    <w:p w14:paraId="04ACE8CD">
      <w:pPr>
        <w:numPr>
          <w:ilvl w:val="0"/>
          <w:numId w:val="7"/>
        </w:numPr>
        <w:spacing w:line="360" w:lineRule="auto"/>
        <w:ind w:left="360" w:right="67" w:rightChars="32" w:hanging="360" w:hangingChars="15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根据国家认证认可相关法律法规要求，依据职业健康安全管理体系、环境管理体系认证标准，建立一套符合经营管理需要的切实可行的管理体系，应提供咨询/服务团队、审核/认证服务团队。确保于2025年12月15日前获得国家认可的职业健康安全管理体系、环境管理体系认证证书，且证书具备IAF认可标识和CNAS或ANAB或UKAS认可标识,2026年12月14日之前完成第一次监督认证，2027年12月13日之前完成第二次监督认证。</w:t>
      </w:r>
    </w:p>
    <w:p w14:paraId="45AD3EC9">
      <w:pPr>
        <w:numPr>
          <w:ilvl w:val="0"/>
          <w:numId w:val="7"/>
        </w:numPr>
        <w:spacing w:line="360" w:lineRule="auto"/>
        <w:ind w:left="360" w:right="67" w:rightChars="32" w:hanging="360" w:hangingChars="15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应配备咨询/服务团队，最低人员配置要求如下：咨询/服务需要有专属项目负责人，且项目负责人需要有10年以上职业健康安全管理体系、环境管理体系咨询经验；有不少于2名具有5年以上职业健康安全管理体系、环境管理体系咨询经验的项目成员。需提供项目组人员的名单。项目负责人需根据需要适时到项目现场开展咨询指导。</w:t>
      </w:r>
    </w:p>
    <w:p w14:paraId="65D7C8EA">
      <w:pPr>
        <w:numPr>
          <w:ilvl w:val="0"/>
          <w:numId w:val="7"/>
        </w:numPr>
        <w:spacing w:line="360" w:lineRule="auto"/>
        <w:ind w:left="360" w:right="67" w:rightChars="32" w:hanging="360" w:hangingChars="15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应配备审核/认证服务团队，最低人员配置要求如下：审核/认证需要有专属项目负责人，且项目负责人需要有10年以上职业健康安全管理体系、环境管理体系审核经验；有不少于11名具有5年以上职业健康安全管理体系、环境管理体系审核经验的项目成员，其中不少于5人应具有输水调度、泵站开停机、水质化验等专业能力的审核员。需提供项目组人员的名单及资质证书。</w:t>
      </w:r>
    </w:p>
    <w:p w14:paraId="33ECE13C">
      <w:pPr>
        <w:numPr>
          <w:ilvl w:val="0"/>
          <w:numId w:val="7"/>
        </w:numPr>
        <w:spacing w:line="360" w:lineRule="auto"/>
        <w:ind w:left="360" w:right="67" w:rightChars="32" w:hanging="360" w:hangingChars="15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指导开展体系运行、体系发布、内审及管理评审等提升标准化管理水平的活动。</w:t>
      </w:r>
    </w:p>
    <w:p w14:paraId="357454A7">
      <w:pPr>
        <w:numPr>
          <w:ilvl w:val="0"/>
          <w:numId w:val="7"/>
        </w:numPr>
        <w:spacing w:line="360" w:lineRule="auto"/>
        <w:ind w:left="360" w:right="67" w:rightChars="32" w:hanging="360" w:hangingChars="150"/>
        <w:rPr>
          <w:rFonts w:ascii="宋体" w:hAnsi="宋体" w:eastAsia="宋体" w:cs="宋体"/>
          <w:color w:val="auto"/>
          <w:sz w:val="24"/>
          <w:szCs w:val="24"/>
          <w:highlight w:val="none"/>
        </w:rPr>
      </w:pPr>
      <w:r>
        <w:rPr>
          <w:rFonts w:hint="eastAsia" w:ascii="宋体" w:hAnsi="宋体" w:eastAsia="宋体" w:cs="宋体"/>
          <w:bCs/>
          <w:color w:val="auto"/>
          <w:sz w:val="24"/>
          <w:szCs w:val="24"/>
          <w:highlight w:val="none"/>
        </w:rPr>
        <w:t>对在认证过程中发现的不符合项或问题项的整改提供技术咨询服务。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imes New Roman Regular">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EF933"/>
    <w:multiLevelType w:val="multilevel"/>
    <w:tmpl w:val="8D9EF933"/>
    <w:lvl w:ilvl="0" w:tentative="0">
      <w:start w:val="1"/>
      <w:numFmt w:val="decimal"/>
      <w:lvlText w:val="%1."/>
      <w:lvlJc w:val="left"/>
      <w:pPr>
        <w:ind w:left="845" w:hanging="420"/>
      </w:pPr>
      <w:rPr>
        <w:rFonts w:hint="eastAsia"/>
        <w:spacing w:val="-20"/>
        <w:position w:val="0"/>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
    <w:nsid w:val="D84999B9"/>
    <w:multiLevelType w:val="singleLevel"/>
    <w:tmpl w:val="D84999B9"/>
    <w:lvl w:ilvl="0" w:tentative="0">
      <w:start w:val="1"/>
      <w:numFmt w:val="decimal"/>
      <w:lvlText w:val="(%1)"/>
      <w:lvlJc w:val="left"/>
      <w:pPr>
        <w:ind w:left="425" w:hanging="425"/>
      </w:pPr>
      <w:rPr>
        <w:rFonts w:hint="default"/>
      </w:rPr>
    </w:lvl>
  </w:abstractNum>
  <w:abstractNum w:abstractNumId="2">
    <w:nsid w:val="074F0ED9"/>
    <w:multiLevelType w:val="multilevel"/>
    <w:tmpl w:val="074F0ED9"/>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0EA2DBFD"/>
    <w:multiLevelType w:val="singleLevel"/>
    <w:tmpl w:val="0EA2DBFD"/>
    <w:lvl w:ilvl="0" w:tentative="0">
      <w:start w:val="1"/>
      <w:numFmt w:val="decimal"/>
      <w:lvlText w:val="%1."/>
      <w:lvlJc w:val="left"/>
      <w:pPr>
        <w:ind w:left="425" w:hanging="425"/>
      </w:pPr>
      <w:rPr>
        <w:rFonts w:hint="default"/>
      </w:rPr>
    </w:lvl>
  </w:abstractNum>
  <w:abstractNum w:abstractNumId="4">
    <w:nsid w:val="1B662B10"/>
    <w:multiLevelType w:val="singleLevel"/>
    <w:tmpl w:val="1B662B10"/>
    <w:lvl w:ilvl="0" w:tentative="0">
      <w:start w:val="1"/>
      <w:numFmt w:val="decimal"/>
      <w:lvlText w:val="%1."/>
      <w:lvlJc w:val="left"/>
      <w:pPr>
        <w:ind w:left="425" w:hanging="425"/>
      </w:pPr>
      <w:rPr>
        <w:rFonts w:hint="default"/>
      </w:rPr>
    </w:lvl>
  </w:abstractNum>
  <w:abstractNum w:abstractNumId="5">
    <w:nsid w:val="5865CDF1"/>
    <w:multiLevelType w:val="multilevel"/>
    <w:tmpl w:val="5865CDF1"/>
    <w:lvl w:ilvl="0" w:tentative="0">
      <w:start w:val="1"/>
      <w:numFmt w:val="chineseCounting"/>
      <w:suff w:val="nothing"/>
      <w:lvlText w:val="%1、"/>
      <w:lvlJc w:val="left"/>
      <w:pPr>
        <w:ind w:left="0" w:firstLine="420"/>
      </w:pPr>
      <w:rPr>
        <w:rFonts w:hint="eastAsia"/>
      </w:rPr>
    </w:lvl>
    <w:lvl w:ilvl="1" w:tentative="0">
      <w:start w:val="1"/>
      <w:numFmt w:val="chineseCounting"/>
      <w:pStyle w:val="3"/>
      <w:lvlText w:val="%2)"/>
      <w:lvlJc w:val="left"/>
      <w:pPr>
        <w:tabs>
          <w:tab w:val="left" w:pos="840"/>
        </w:tabs>
        <w:ind w:left="840" w:hanging="420"/>
      </w:pPr>
      <w:rPr>
        <w:rFonts w:hint="eastAsia" w:ascii="宋体" w:hAnsi="宋体" w:eastAsia="宋体" w:cs="宋体"/>
      </w:rPr>
    </w:lvl>
    <w:lvl w:ilvl="2" w:tentative="0">
      <w:start w:val="1"/>
      <w:numFmt w:val="lowerRoman"/>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lef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left"/>
      <w:pPr>
        <w:tabs>
          <w:tab w:val="left" w:pos="3780"/>
        </w:tabs>
        <w:ind w:left="3780" w:hanging="420"/>
      </w:pPr>
      <w:rPr>
        <w:rFonts w:hint="eastAsia"/>
      </w:rPr>
    </w:lvl>
  </w:abstractNum>
  <w:abstractNum w:abstractNumId="6">
    <w:nsid w:val="66048A2A"/>
    <w:multiLevelType w:val="singleLevel"/>
    <w:tmpl w:val="66048A2A"/>
    <w:lvl w:ilvl="0" w:tentative="0">
      <w:start w:val="1"/>
      <w:numFmt w:val="decimal"/>
      <w:suff w:val="nothing"/>
      <w:lvlText w:val="%1、"/>
      <w:lvlJc w:val="left"/>
    </w:lvl>
  </w:abstractNum>
  <w:num w:numId="1">
    <w:abstractNumId w:val="5"/>
  </w:num>
  <w:num w:numId="2">
    <w:abstractNumId w:val="2"/>
  </w:num>
  <w:num w:numId="3">
    <w:abstractNumId w:val="4"/>
  </w:num>
  <w:num w:numId="4">
    <w:abstractNumId w:val="1"/>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NjZTk3NmRmZDBjY2VmN2ZlOWU5MWE0OWQ5YmFhNWEifQ=="/>
  </w:docVars>
  <w:rsids>
    <w:rsidRoot w:val="00172A27"/>
    <w:rsid w:val="00000FCF"/>
    <w:rsid w:val="000040C8"/>
    <w:rsid w:val="00005FAD"/>
    <w:rsid w:val="00024F33"/>
    <w:rsid w:val="00026CF1"/>
    <w:rsid w:val="000313A3"/>
    <w:rsid w:val="000449A4"/>
    <w:rsid w:val="00051452"/>
    <w:rsid w:val="000815DF"/>
    <w:rsid w:val="000B13B5"/>
    <w:rsid w:val="000C6B6E"/>
    <w:rsid w:val="000D1905"/>
    <w:rsid w:val="000E3EBF"/>
    <w:rsid w:val="000F75CB"/>
    <w:rsid w:val="001077D1"/>
    <w:rsid w:val="00110089"/>
    <w:rsid w:val="0011216A"/>
    <w:rsid w:val="00113069"/>
    <w:rsid w:val="00126175"/>
    <w:rsid w:val="001405AF"/>
    <w:rsid w:val="001439A2"/>
    <w:rsid w:val="00143DDC"/>
    <w:rsid w:val="00172A27"/>
    <w:rsid w:val="00175A4B"/>
    <w:rsid w:val="00187D0A"/>
    <w:rsid w:val="00197887"/>
    <w:rsid w:val="001B4006"/>
    <w:rsid w:val="001B760F"/>
    <w:rsid w:val="001D2057"/>
    <w:rsid w:val="001D7A65"/>
    <w:rsid w:val="001E1046"/>
    <w:rsid w:val="001F0A89"/>
    <w:rsid w:val="002013F3"/>
    <w:rsid w:val="0020411C"/>
    <w:rsid w:val="00205297"/>
    <w:rsid w:val="00206E42"/>
    <w:rsid w:val="00210403"/>
    <w:rsid w:val="00210426"/>
    <w:rsid w:val="002216DD"/>
    <w:rsid w:val="00222A39"/>
    <w:rsid w:val="00232679"/>
    <w:rsid w:val="00235542"/>
    <w:rsid w:val="002412A6"/>
    <w:rsid w:val="002756BE"/>
    <w:rsid w:val="002A5CB0"/>
    <w:rsid w:val="002C3106"/>
    <w:rsid w:val="002F1593"/>
    <w:rsid w:val="002F2E38"/>
    <w:rsid w:val="00303AF7"/>
    <w:rsid w:val="00322A87"/>
    <w:rsid w:val="00323114"/>
    <w:rsid w:val="00323505"/>
    <w:rsid w:val="003329CB"/>
    <w:rsid w:val="00335B1D"/>
    <w:rsid w:val="00337305"/>
    <w:rsid w:val="003536DA"/>
    <w:rsid w:val="00370723"/>
    <w:rsid w:val="003761C2"/>
    <w:rsid w:val="003977BA"/>
    <w:rsid w:val="003A10F4"/>
    <w:rsid w:val="003A3677"/>
    <w:rsid w:val="003C1EDF"/>
    <w:rsid w:val="003C37CA"/>
    <w:rsid w:val="003D3B29"/>
    <w:rsid w:val="003E3598"/>
    <w:rsid w:val="00403C18"/>
    <w:rsid w:val="00411F45"/>
    <w:rsid w:val="004452A7"/>
    <w:rsid w:val="0045170B"/>
    <w:rsid w:val="0045263A"/>
    <w:rsid w:val="00460842"/>
    <w:rsid w:val="00465421"/>
    <w:rsid w:val="00475B9A"/>
    <w:rsid w:val="004814AF"/>
    <w:rsid w:val="0048427D"/>
    <w:rsid w:val="004A1995"/>
    <w:rsid w:val="004A2292"/>
    <w:rsid w:val="004A647F"/>
    <w:rsid w:val="004A7FF3"/>
    <w:rsid w:val="004B06D2"/>
    <w:rsid w:val="004B2F53"/>
    <w:rsid w:val="004B3B05"/>
    <w:rsid w:val="004B5930"/>
    <w:rsid w:val="004B671C"/>
    <w:rsid w:val="004C5329"/>
    <w:rsid w:val="004C568A"/>
    <w:rsid w:val="004C78D0"/>
    <w:rsid w:val="004D56CD"/>
    <w:rsid w:val="004F7996"/>
    <w:rsid w:val="005017CF"/>
    <w:rsid w:val="005026DD"/>
    <w:rsid w:val="005074A1"/>
    <w:rsid w:val="0054095B"/>
    <w:rsid w:val="00540965"/>
    <w:rsid w:val="00541108"/>
    <w:rsid w:val="005544C8"/>
    <w:rsid w:val="00575784"/>
    <w:rsid w:val="00585202"/>
    <w:rsid w:val="005D063B"/>
    <w:rsid w:val="005D5E36"/>
    <w:rsid w:val="005D7C56"/>
    <w:rsid w:val="005F5C6A"/>
    <w:rsid w:val="005F5CC2"/>
    <w:rsid w:val="00606AF2"/>
    <w:rsid w:val="00616752"/>
    <w:rsid w:val="006211BB"/>
    <w:rsid w:val="0062637A"/>
    <w:rsid w:val="00636BF7"/>
    <w:rsid w:val="006606A9"/>
    <w:rsid w:val="006938F7"/>
    <w:rsid w:val="006B3D27"/>
    <w:rsid w:val="006E018C"/>
    <w:rsid w:val="006E05BE"/>
    <w:rsid w:val="007033F0"/>
    <w:rsid w:val="00720516"/>
    <w:rsid w:val="00722274"/>
    <w:rsid w:val="00725B51"/>
    <w:rsid w:val="00735921"/>
    <w:rsid w:val="007362D5"/>
    <w:rsid w:val="007401D1"/>
    <w:rsid w:val="007467C7"/>
    <w:rsid w:val="00757257"/>
    <w:rsid w:val="00774907"/>
    <w:rsid w:val="00793890"/>
    <w:rsid w:val="00795A2D"/>
    <w:rsid w:val="007973EC"/>
    <w:rsid w:val="007A5060"/>
    <w:rsid w:val="007D2D94"/>
    <w:rsid w:val="007E1387"/>
    <w:rsid w:val="00805866"/>
    <w:rsid w:val="00816D50"/>
    <w:rsid w:val="008221CD"/>
    <w:rsid w:val="00842624"/>
    <w:rsid w:val="0084422F"/>
    <w:rsid w:val="00856790"/>
    <w:rsid w:val="008625C9"/>
    <w:rsid w:val="00872A41"/>
    <w:rsid w:val="008744C2"/>
    <w:rsid w:val="00894C01"/>
    <w:rsid w:val="00895AD6"/>
    <w:rsid w:val="008A1463"/>
    <w:rsid w:val="008B0E51"/>
    <w:rsid w:val="008B1C5E"/>
    <w:rsid w:val="008B26D8"/>
    <w:rsid w:val="008E021C"/>
    <w:rsid w:val="008F53EB"/>
    <w:rsid w:val="00907EA2"/>
    <w:rsid w:val="00915069"/>
    <w:rsid w:val="00916F66"/>
    <w:rsid w:val="00935410"/>
    <w:rsid w:val="009532CD"/>
    <w:rsid w:val="00954FC6"/>
    <w:rsid w:val="009619E5"/>
    <w:rsid w:val="00971476"/>
    <w:rsid w:val="009818E3"/>
    <w:rsid w:val="00984DD5"/>
    <w:rsid w:val="00985FC3"/>
    <w:rsid w:val="009A2107"/>
    <w:rsid w:val="009C038B"/>
    <w:rsid w:val="009E20AB"/>
    <w:rsid w:val="009E3DDD"/>
    <w:rsid w:val="009E6AD4"/>
    <w:rsid w:val="009F3C8B"/>
    <w:rsid w:val="00A06469"/>
    <w:rsid w:val="00A1162B"/>
    <w:rsid w:val="00A20918"/>
    <w:rsid w:val="00A65322"/>
    <w:rsid w:val="00A75CD7"/>
    <w:rsid w:val="00AA73D7"/>
    <w:rsid w:val="00AB65F3"/>
    <w:rsid w:val="00AC5E5C"/>
    <w:rsid w:val="00AC77A5"/>
    <w:rsid w:val="00AD19C0"/>
    <w:rsid w:val="00AE3329"/>
    <w:rsid w:val="00B003FC"/>
    <w:rsid w:val="00B1319E"/>
    <w:rsid w:val="00B20ED6"/>
    <w:rsid w:val="00B24845"/>
    <w:rsid w:val="00B3076C"/>
    <w:rsid w:val="00B37DA4"/>
    <w:rsid w:val="00B403B9"/>
    <w:rsid w:val="00B62BFF"/>
    <w:rsid w:val="00B73BFD"/>
    <w:rsid w:val="00B74E53"/>
    <w:rsid w:val="00B817AA"/>
    <w:rsid w:val="00B8211B"/>
    <w:rsid w:val="00B97122"/>
    <w:rsid w:val="00BB3407"/>
    <w:rsid w:val="00BB3758"/>
    <w:rsid w:val="00BB5B2B"/>
    <w:rsid w:val="00BC10DE"/>
    <w:rsid w:val="00BC550C"/>
    <w:rsid w:val="00BC5E46"/>
    <w:rsid w:val="00BE128B"/>
    <w:rsid w:val="00C01E00"/>
    <w:rsid w:val="00C0346E"/>
    <w:rsid w:val="00C0442E"/>
    <w:rsid w:val="00C05C8C"/>
    <w:rsid w:val="00C14B91"/>
    <w:rsid w:val="00C31CA1"/>
    <w:rsid w:val="00C53DBB"/>
    <w:rsid w:val="00C63DD8"/>
    <w:rsid w:val="00C674AB"/>
    <w:rsid w:val="00C90291"/>
    <w:rsid w:val="00CB197E"/>
    <w:rsid w:val="00CE7F04"/>
    <w:rsid w:val="00CF6D23"/>
    <w:rsid w:val="00D049BB"/>
    <w:rsid w:val="00D1198B"/>
    <w:rsid w:val="00D24703"/>
    <w:rsid w:val="00D25930"/>
    <w:rsid w:val="00D40A65"/>
    <w:rsid w:val="00D562EF"/>
    <w:rsid w:val="00D96885"/>
    <w:rsid w:val="00DB44C6"/>
    <w:rsid w:val="00DC5CC7"/>
    <w:rsid w:val="00DE77CA"/>
    <w:rsid w:val="00E05D53"/>
    <w:rsid w:val="00E16426"/>
    <w:rsid w:val="00E22AB4"/>
    <w:rsid w:val="00E23034"/>
    <w:rsid w:val="00E261E8"/>
    <w:rsid w:val="00E366D7"/>
    <w:rsid w:val="00E43B6C"/>
    <w:rsid w:val="00E46AD2"/>
    <w:rsid w:val="00E6036B"/>
    <w:rsid w:val="00E70901"/>
    <w:rsid w:val="00E807A1"/>
    <w:rsid w:val="00E812EB"/>
    <w:rsid w:val="00E817EA"/>
    <w:rsid w:val="00E82F5B"/>
    <w:rsid w:val="00E93D3E"/>
    <w:rsid w:val="00E94751"/>
    <w:rsid w:val="00EA097B"/>
    <w:rsid w:val="00ED6899"/>
    <w:rsid w:val="00EE5AC4"/>
    <w:rsid w:val="00F100B8"/>
    <w:rsid w:val="00F12D3F"/>
    <w:rsid w:val="00F358D5"/>
    <w:rsid w:val="00F3648E"/>
    <w:rsid w:val="00F44F67"/>
    <w:rsid w:val="00F4782A"/>
    <w:rsid w:val="00F714E2"/>
    <w:rsid w:val="00F84AF1"/>
    <w:rsid w:val="00F91859"/>
    <w:rsid w:val="00F93EA7"/>
    <w:rsid w:val="00F97A19"/>
    <w:rsid w:val="00FA1B80"/>
    <w:rsid w:val="00FA4561"/>
    <w:rsid w:val="00FA4AB3"/>
    <w:rsid w:val="00FB0486"/>
    <w:rsid w:val="00FB1122"/>
    <w:rsid w:val="00FE7C0C"/>
    <w:rsid w:val="00FF0FF8"/>
    <w:rsid w:val="00FF4F01"/>
    <w:rsid w:val="00FF6248"/>
    <w:rsid w:val="0147153B"/>
    <w:rsid w:val="01527EDF"/>
    <w:rsid w:val="01583748"/>
    <w:rsid w:val="01D95F0B"/>
    <w:rsid w:val="01EF3980"/>
    <w:rsid w:val="01F149BF"/>
    <w:rsid w:val="01F36FCC"/>
    <w:rsid w:val="02511F45"/>
    <w:rsid w:val="02B96468"/>
    <w:rsid w:val="031E25A9"/>
    <w:rsid w:val="0321400D"/>
    <w:rsid w:val="0341020B"/>
    <w:rsid w:val="03C54999"/>
    <w:rsid w:val="03D746CC"/>
    <w:rsid w:val="0434627F"/>
    <w:rsid w:val="049946BB"/>
    <w:rsid w:val="04AE18D1"/>
    <w:rsid w:val="04FA4B16"/>
    <w:rsid w:val="05452B81"/>
    <w:rsid w:val="05545FD4"/>
    <w:rsid w:val="05DE7F94"/>
    <w:rsid w:val="062067FE"/>
    <w:rsid w:val="063D5DFE"/>
    <w:rsid w:val="0645561C"/>
    <w:rsid w:val="067601CC"/>
    <w:rsid w:val="06AC1E40"/>
    <w:rsid w:val="06BC02D5"/>
    <w:rsid w:val="06CB49BC"/>
    <w:rsid w:val="06D27AF8"/>
    <w:rsid w:val="06F7755F"/>
    <w:rsid w:val="071677CB"/>
    <w:rsid w:val="071F0864"/>
    <w:rsid w:val="0730481F"/>
    <w:rsid w:val="07697D31"/>
    <w:rsid w:val="07893F2F"/>
    <w:rsid w:val="07C84A57"/>
    <w:rsid w:val="07EA2C20"/>
    <w:rsid w:val="081B727D"/>
    <w:rsid w:val="0842480A"/>
    <w:rsid w:val="089E3A0A"/>
    <w:rsid w:val="08A454C4"/>
    <w:rsid w:val="08BB45BC"/>
    <w:rsid w:val="09105F27"/>
    <w:rsid w:val="093A1E45"/>
    <w:rsid w:val="09581E0B"/>
    <w:rsid w:val="09A432A2"/>
    <w:rsid w:val="09ED6280"/>
    <w:rsid w:val="0A0855DF"/>
    <w:rsid w:val="0A3960E0"/>
    <w:rsid w:val="0A590531"/>
    <w:rsid w:val="0AA479FE"/>
    <w:rsid w:val="0AE0655C"/>
    <w:rsid w:val="0AE75B3C"/>
    <w:rsid w:val="0B0158A6"/>
    <w:rsid w:val="0B21104E"/>
    <w:rsid w:val="0B440899"/>
    <w:rsid w:val="0B64718D"/>
    <w:rsid w:val="0B666A61"/>
    <w:rsid w:val="0B9A2BAF"/>
    <w:rsid w:val="0BD25349"/>
    <w:rsid w:val="0BFF2A12"/>
    <w:rsid w:val="0C000C64"/>
    <w:rsid w:val="0C6B3842"/>
    <w:rsid w:val="0C8F3D96"/>
    <w:rsid w:val="0C915D60"/>
    <w:rsid w:val="0D246BD4"/>
    <w:rsid w:val="0D4C7ED9"/>
    <w:rsid w:val="0D865199"/>
    <w:rsid w:val="0DC363ED"/>
    <w:rsid w:val="0DED433C"/>
    <w:rsid w:val="0DF26CD2"/>
    <w:rsid w:val="0E122ED0"/>
    <w:rsid w:val="0E1924B1"/>
    <w:rsid w:val="0E460DCC"/>
    <w:rsid w:val="0E6F20D1"/>
    <w:rsid w:val="0EAB5FDF"/>
    <w:rsid w:val="0F3B0205"/>
    <w:rsid w:val="0F470958"/>
    <w:rsid w:val="0F543075"/>
    <w:rsid w:val="10190546"/>
    <w:rsid w:val="102E1B18"/>
    <w:rsid w:val="10664CAB"/>
    <w:rsid w:val="110B5BB3"/>
    <w:rsid w:val="110C07A8"/>
    <w:rsid w:val="111B209C"/>
    <w:rsid w:val="112A22DF"/>
    <w:rsid w:val="114710E3"/>
    <w:rsid w:val="11CC3396"/>
    <w:rsid w:val="12C34799"/>
    <w:rsid w:val="138D1D96"/>
    <w:rsid w:val="138F2C10"/>
    <w:rsid w:val="13FB0A59"/>
    <w:rsid w:val="143050D5"/>
    <w:rsid w:val="143F60A1"/>
    <w:rsid w:val="145C1B0E"/>
    <w:rsid w:val="148A01A3"/>
    <w:rsid w:val="14A30D26"/>
    <w:rsid w:val="1512667E"/>
    <w:rsid w:val="15155054"/>
    <w:rsid w:val="156E5B1C"/>
    <w:rsid w:val="15787ABD"/>
    <w:rsid w:val="16302145"/>
    <w:rsid w:val="1699418F"/>
    <w:rsid w:val="16C64858"/>
    <w:rsid w:val="16FE788D"/>
    <w:rsid w:val="176C116A"/>
    <w:rsid w:val="177C44D6"/>
    <w:rsid w:val="17B46DA6"/>
    <w:rsid w:val="180715CC"/>
    <w:rsid w:val="1833416F"/>
    <w:rsid w:val="1852572B"/>
    <w:rsid w:val="1892114A"/>
    <w:rsid w:val="189810E3"/>
    <w:rsid w:val="19375D0B"/>
    <w:rsid w:val="1947020C"/>
    <w:rsid w:val="19793E03"/>
    <w:rsid w:val="19BE3F0C"/>
    <w:rsid w:val="1A4C1518"/>
    <w:rsid w:val="1A91517D"/>
    <w:rsid w:val="1AB81C71"/>
    <w:rsid w:val="1ADC6D40"/>
    <w:rsid w:val="1B4F7512"/>
    <w:rsid w:val="1BA64C58"/>
    <w:rsid w:val="1C200EAE"/>
    <w:rsid w:val="1C8A6328"/>
    <w:rsid w:val="1C9222D7"/>
    <w:rsid w:val="1CD53A47"/>
    <w:rsid w:val="1CE372A4"/>
    <w:rsid w:val="1D50131F"/>
    <w:rsid w:val="1D6810F6"/>
    <w:rsid w:val="1D976F4E"/>
    <w:rsid w:val="1DA358F3"/>
    <w:rsid w:val="1DB13FB4"/>
    <w:rsid w:val="1DB4365C"/>
    <w:rsid w:val="1DDE2DCF"/>
    <w:rsid w:val="1E2D4B5C"/>
    <w:rsid w:val="1E3B2B55"/>
    <w:rsid w:val="1E674B72"/>
    <w:rsid w:val="1EA85162"/>
    <w:rsid w:val="1EF1268E"/>
    <w:rsid w:val="1F3A2287"/>
    <w:rsid w:val="1FB95A8F"/>
    <w:rsid w:val="1FC87893"/>
    <w:rsid w:val="1FDB053D"/>
    <w:rsid w:val="20547378"/>
    <w:rsid w:val="20607ACB"/>
    <w:rsid w:val="2063798C"/>
    <w:rsid w:val="20765541"/>
    <w:rsid w:val="20992FDD"/>
    <w:rsid w:val="20C53DD2"/>
    <w:rsid w:val="20D91ACA"/>
    <w:rsid w:val="20DA5ACF"/>
    <w:rsid w:val="20E744F1"/>
    <w:rsid w:val="216C47A8"/>
    <w:rsid w:val="21B26104"/>
    <w:rsid w:val="2210107D"/>
    <w:rsid w:val="221F0585"/>
    <w:rsid w:val="226B2757"/>
    <w:rsid w:val="226C73CF"/>
    <w:rsid w:val="227246D9"/>
    <w:rsid w:val="22AB3909"/>
    <w:rsid w:val="22D327D6"/>
    <w:rsid w:val="231E16C7"/>
    <w:rsid w:val="231F6A45"/>
    <w:rsid w:val="23E10F23"/>
    <w:rsid w:val="23EA427B"/>
    <w:rsid w:val="24203373"/>
    <w:rsid w:val="242D4168"/>
    <w:rsid w:val="24806967"/>
    <w:rsid w:val="24A2380B"/>
    <w:rsid w:val="24D22209"/>
    <w:rsid w:val="25057B4A"/>
    <w:rsid w:val="252A182A"/>
    <w:rsid w:val="25553977"/>
    <w:rsid w:val="257D58F9"/>
    <w:rsid w:val="25B14925"/>
    <w:rsid w:val="25BF34E6"/>
    <w:rsid w:val="25D725DE"/>
    <w:rsid w:val="25E60A73"/>
    <w:rsid w:val="26415CA9"/>
    <w:rsid w:val="26A86F43"/>
    <w:rsid w:val="26DB60FD"/>
    <w:rsid w:val="27280C17"/>
    <w:rsid w:val="274A6DDF"/>
    <w:rsid w:val="27515DA1"/>
    <w:rsid w:val="277D5407"/>
    <w:rsid w:val="27D74B17"/>
    <w:rsid w:val="282B7B14"/>
    <w:rsid w:val="2846353B"/>
    <w:rsid w:val="286E5B59"/>
    <w:rsid w:val="289A34EF"/>
    <w:rsid w:val="28DC615D"/>
    <w:rsid w:val="28E04AA5"/>
    <w:rsid w:val="28FA7031"/>
    <w:rsid w:val="296F6FD1"/>
    <w:rsid w:val="2A187669"/>
    <w:rsid w:val="2A2B114A"/>
    <w:rsid w:val="2A4144C9"/>
    <w:rsid w:val="2A76062B"/>
    <w:rsid w:val="2A960096"/>
    <w:rsid w:val="2AD52E64"/>
    <w:rsid w:val="2BB46F1D"/>
    <w:rsid w:val="2C9F197B"/>
    <w:rsid w:val="2CA13945"/>
    <w:rsid w:val="2CB25E33"/>
    <w:rsid w:val="2D100C2E"/>
    <w:rsid w:val="2D202ABC"/>
    <w:rsid w:val="2D70787B"/>
    <w:rsid w:val="2D76092E"/>
    <w:rsid w:val="2E0A72C8"/>
    <w:rsid w:val="2E4F6EFD"/>
    <w:rsid w:val="2E5A1FFE"/>
    <w:rsid w:val="2E6966E5"/>
    <w:rsid w:val="2EB57234"/>
    <w:rsid w:val="2EDC2A13"/>
    <w:rsid w:val="2F2E6FE6"/>
    <w:rsid w:val="2F3E3521"/>
    <w:rsid w:val="2F57653D"/>
    <w:rsid w:val="2F7470EF"/>
    <w:rsid w:val="2F7A74A1"/>
    <w:rsid w:val="30890A4E"/>
    <w:rsid w:val="308E5F8F"/>
    <w:rsid w:val="31480833"/>
    <w:rsid w:val="315A40C3"/>
    <w:rsid w:val="31682AFA"/>
    <w:rsid w:val="31684A32"/>
    <w:rsid w:val="31B4437F"/>
    <w:rsid w:val="31CB5F9D"/>
    <w:rsid w:val="31D73965"/>
    <w:rsid w:val="324C585D"/>
    <w:rsid w:val="32C57C62"/>
    <w:rsid w:val="32F66DD2"/>
    <w:rsid w:val="33400D8F"/>
    <w:rsid w:val="33C85C5B"/>
    <w:rsid w:val="33D4015C"/>
    <w:rsid w:val="34060532"/>
    <w:rsid w:val="341D7D55"/>
    <w:rsid w:val="34675474"/>
    <w:rsid w:val="34967B08"/>
    <w:rsid w:val="34DB551B"/>
    <w:rsid w:val="351C625F"/>
    <w:rsid w:val="35583B81"/>
    <w:rsid w:val="3578720D"/>
    <w:rsid w:val="35843E04"/>
    <w:rsid w:val="359044CC"/>
    <w:rsid w:val="35AC4A89"/>
    <w:rsid w:val="35FC399A"/>
    <w:rsid w:val="3660217B"/>
    <w:rsid w:val="36615240"/>
    <w:rsid w:val="368052E1"/>
    <w:rsid w:val="36CC15BF"/>
    <w:rsid w:val="36D7631A"/>
    <w:rsid w:val="37897610"/>
    <w:rsid w:val="378F55D2"/>
    <w:rsid w:val="37AA72D9"/>
    <w:rsid w:val="37C30C14"/>
    <w:rsid w:val="380B6117"/>
    <w:rsid w:val="383148A9"/>
    <w:rsid w:val="38B844F1"/>
    <w:rsid w:val="392A081F"/>
    <w:rsid w:val="39406294"/>
    <w:rsid w:val="395064D7"/>
    <w:rsid w:val="39BC591B"/>
    <w:rsid w:val="39C11183"/>
    <w:rsid w:val="39D55478"/>
    <w:rsid w:val="3A7D0FA4"/>
    <w:rsid w:val="3B3836C7"/>
    <w:rsid w:val="3B3F4D25"/>
    <w:rsid w:val="3B8D5913"/>
    <w:rsid w:val="3B903503"/>
    <w:rsid w:val="3B990B67"/>
    <w:rsid w:val="3BA047C1"/>
    <w:rsid w:val="3BD31641"/>
    <w:rsid w:val="3BFC2946"/>
    <w:rsid w:val="3C0161AE"/>
    <w:rsid w:val="3C3A521C"/>
    <w:rsid w:val="3D015D3A"/>
    <w:rsid w:val="3D163594"/>
    <w:rsid w:val="3D3D3216"/>
    <w:rsid w:val="3D5D6282"/>
    <w:rsid w:val="3D78424E"/>
    <w:rsid w:val="3E23240C"/>
    <w:rsid w:val="3EB23790"/>
    <w:rsid w:val="3EBE2266"/>
    <w:rsid w:val="3F3B5533"/>
    <w:rsid w:val="3F63180D"/>
    <w:rsid w:val="3F634A8A"/>
    <w:rsid w:val="402551A3"/>
    <w:rsid w:val="405737B8"/>
    <w:rsid w:val="40EB2F89"/>
    <w:rsid w:val="410F6C78"/>
    <w:rsid w:val="41CE268F"/>
    <w:rsid w:val="420F2CA7"/>
    <w:rsid w:val="423050F8"/>
    <w:rsid w:val="42B0448A"/>
    <w:rsid w:val="42B15E84"/>
    <w:rsid w:val="42CE66BF"/>
    <w:rsid w:val="42D24401"/>
    <w:rsid w:val="432639DA"/>
    <w:rsid w:val="43302ED5"/>
    <w:rsid w:val="43432C09"/>
    <w:rsid w:val="44004F9E"/>
    <w:rsid w:val="441822E7"/>
    <w:rsid w:val="442C18EF"/>
    <w:rsid w:val="44ED72D0"/>
    <w:rsid w:val="44F7014F"/>
    <w:rsid w:val="44FC5765"/>
    <w:rsid w:val="451231DA"/>
    <w:rsid w:val="45486BFC"/>
    <w:rsid w:val="456F5A7E"/>
    <w:rsid w:val="45C1250B"/>
    <w:rsid w:val="45C83899"/>
    <w:rsid w:val="46603AD2"/>
    <w:rsid w:val="467C4DAF"/>
    <w:rsid w:val="46DA7D28"/>
    <w:rsid w:val="46F56910"/>
    <w:rsid w:val="476C6C71"/>
    <w:rsid w:val="478B222D"/>
    <w:rsid w:val="481B05F8"/>
    <w:rsid w:val="48451C0C"/>
    <w:rsid w:val="48594C7C"/>
    <w:rsid w:val="487808A5"/>
    <w:rsid w:val="48873598"/>
    <w:rsid w:val="48D367DD"/>
    <w:rsid w:val="48E924A4"/>
    <w:rsid w:val="493059DD"/>
    <w:rsid w:val="49D96075"/>
    <w:rsid w:val="49E669E4"/>
    <w:rsid w:val="4A3E237C"/>
    <w:rsid w:val="4A5B0444"/>
    <w:rsid w:val="4AAF6DD6"/>
    <w:rsid w:val="4AB8212E"/>
    <w:rsid w:val="4AC24D5B"/>
    <w:rsid w:val="4ADC14A7"/>
    <w:rsid w:val="4AE922E8"/>
    <w:rsid w:val="4BA32DDE"/>
    <w:rsid w:val="4C121C88"/>
    <w:rsid w:val="4C7B1665"/>
    <w:rsid w:val="4CBD57DA"/>
    <w:rsid w:val="4D477799"/>
    <w:rsid w:val="4D7A191D"/>
    <w:rsid w:val="4E2E44B5"/>
    <w:rsid w:val="4EA03605"/>
    <w:rsid w:val="4EB40E5E"/>
    <w:rsid w:val="4ED4505D"/>
    <w:rsid w:val="4F3F2E1E"/>
    <w:rsid w:val="4F52414B"/>
    <w:rsid w:val="4F5B752C"/>
    <w:rsid w:val="4FC04F2C"/>
    <w:rsid w:val="4FC155E1"/>
    <w:rsid w:val="4FCA0F9D"/>
    <w:rsid w:val="50146059"/>
    <w:rsid w:val="506A211C"/>
    <w:rsid w:val="50DC0C8A"/>
    <w:rsid w:val="50E13A61"/>
    <w:rsid w:val="50E366A5"/>
    <w:rsid w:val="51B55619"/>
    <w:rsid w:val="51BD5A4C"/>
    <w:rsid w:val="520B348B"/>
    <w:rsid w:val="5276691C"/>
    <w:rsid w:val="52D148CC"/>
    <w:rsid w:val="52E430E2"/>
    <w:rsid w:val="533E519B"/>
    <w:rsid w:val="53A70F92"/>
    <w:rsid w:val="53B84F4D"/>
    <w:rsid w:val="53D30FCF"/>
    <w:rsid w:val="54297BF9"/>
    <w:rsid w:val="542B1BC3"/>
    <w:rsid w:val="54350468"/>
    <w:rsid w:val="553920BD"/>
    <w:rsid w:val="55945546"/>
    <w:rsid w:val="55AE6607"/>
    <w:rsid w:val="55C776C9"/>
    <w:rsid w:val="561D553B"/>
    <w:rsid w:val="561F5757"/>
    <w:rsid w:val="56290384"/>
    <w:rsid w:val="56A1616C"/>
    <w:rsid w:val="56C9121F"/>
    <w:rsid w:val="574014E1"/>
    <w:rsid w:val="57460AC2"/>
    <w:rsid w:val="576D2A2D"/>
    <w:rsid w:val="57D165DD"/>
    <w:rsid w:val="57E502DB"/>
    <w:rsid w:val="581B1F4E"/>
    <w:rsid w:val="58466FCB"/>
    <w:rsid w:val="58C46142"/>
    <w:rsid w:val="58D04AE7"/>
    <w:rsid w:val="592117E6"/>
    <w:rsid w:val="593432C8"/>
    <w:rsid w:val="594E05DC"/>
    <w:rsid w:val="599F479F"/>
    <w:rsid w:val="59AC3230"/>
    <w:rsid w:val="59D64DC3"/>
    <w:rsid w:val="5A4F5EDF"/>
    <w:rsid w:val="5ABC3575"/>
    <w:rsid w:val="5B062A42"/>
    <w:rsid w:val="5B150ED7"/>
    <w:rsid w:val="5B3E21DC"/>
    <w:rsid w:val="5B3F654F"/>
    <w:rsid w:val="5B590DC3"/>
    <w:rsid w:val="5B9E0ECC"/>
    <w:rsid w:val="5BAA5AC3"/>
    <w:rsid w:val="5BD4669C"/>
    <w:rsid w:val="5C782456"/>
    <w:rsid w:val="5D2D4B78"/>
    <w:rsid w:val="5D5E4DB7"/>
    <w:rsid w:val="5D997B9D"/>
    <w:rsid w:val="5DA402F0"/>
    <w:rsid w:val="5DBF512A"/>
    <w:rsid w:val="5DEA21A7"/>
    <w:rsid w:val="5E317DD6"/>
    <w:rsid w:val="5E831EBF"/>
    <w:rsid w:val="5EAF1558"/>
    <w:rsid w:val="5EFF1C82"/>
    <w:rsid w:val="5F41673E"/>
    <w:rsid w:val="5F554FEC"/>
    <w:rsid w:val="5F9C1BC7"/>
    <w:rsid w:val="6017124D"/>
    <w:rsid w:val="603911C4"/>
    <w:rsid w:val="603E4A2C"/>
    <w:rsid w:val="603E67DA"/>
    <w:rsid w:val="606E3563"/>
    <w:rsid w:val="608368E3"/>
    <w:rsid w:val="60CE7B5E"/>
    <w:rsid w:val="61016185"/>
    <w:rsid w:val="61330309"/>
    <w:rsid w:val="61761FA3"/>
    <w:rsid w:val="61C251E9"/>
    <w:rsid w:val="623936FD"/>
    <w:rsid w:val="62514EEA"/>
    <w:rsid w:val="6271498F"/>
    <w:rsid w:val="62791D4B"/>
    <w:rsid w:val="627D52AB"/>
    <w:rsid w:val="62922D69"/>
    <w:rsid w:val="62B2022E"/>
    <w:rsid w:val="62D41677"/>
    <w:rsid w:val="62D84CC4"/>
    <w:rsid w:val="62FF3833"/>
    <w:rsid w:val="63350368"/>
    <w:rsid w:val="63952EE1"/>
    <w:rsid w:val="64201EC1"/>
    <w:rsid w:val="642D7291"/>
    <w:rsid w:val="643D5FE8"/>
    <w:rsid w:val="645E744B"/>
    <w:rsid w:val="64670901"/>
    <w:rsid w:val="64A84B6A"/>
    <w:rsid w:val="64AF72DC"/>
    <w:rsid w:val="64C71494"/>
    <w:rsid w:val="65530F79"/>
    <w:rsid w:val="65A76BCF"/>
    <w:rsid w:val="65AE4402"/>
    <w:rsid w:val="66157FDD"/>
    <w:rsid w:val="662621EA"/>
    <w:rsid w:val="662A7F2C"/>
    <w:rsid w:val="663F32AC"/>
    <w:rsid w:val="66756CCD"/>
    <w:rsid w:val="66815672"/>
    <w:rsid w:val="668F1B3D"/>
    <w:rsid w:val="66F67E0E"/>
    <w:rsid w:val="67281235"/>
    <w:rsid w:val="675D1B9D"/>
    <w:rsid w:val="67A1421E"/>
    <w:rsid w:val="67A21D44"/>
    <w:rsid w:val="67DA7730"/>
    <w:rsid w:val="689E3510"/>
    <w:rsid w:val="68B24209"/>
    <w:rsid w:val="68B3144C"/>
    <w:rsid w:val="68BE2BAE"/>
    <w:rsid w:val="68D5305B"/>
    <w:rsid w:val="69085BD7"/>
    <w:rsid w:val="69232A11"/>
    <w:rsid w:val="694110E9"/>
    <w:rsid w:val="69564B94"/>
    <w:rsid w:val="698622FD"/>
    <w:rsid w:val="698F62F8"/>
    <w:rsid w:val="69A22811"/>
    <w:rsid w:val="69BF6BDD"/>
    <w:rsid w:val="69DE389D"/>
    <w:rsid w:val="6A67019F"/>
    <w:rsid w:val="6A845731"/>
    <w:rsid w:val="6AA30860"/>
    <w:rsid w:val="6AB51D8E"/>
    <w:rsid w:val="6B0845B4"/>
    <w:rsid w:val="6B7D28AC"/>
    <w:rsid w:val="6B811C71"/>
    <w:rsid w:val="6BA77929"/>
    <w:rsid w:val="6BC24763"/>
    <w:rsid w:val="6BE742B4"/>
    <w:rsid w:val="6C133210"/>
    <w:rsid w:val="6C186A79"/>
    <w:rsid w:val="6C5C4BB7"/>
    <w:rsid w:val="6C627CF4"/>
    <w:rsid w:val="6C77554D"/>
    <w:rsid w:val="6C871D5A"/>
    <w:rsid w:val="6C9C1458"/>
    <w:rsid w:val="6C9D13FB"/>
    <w:rsid w:val="6CED30B0"/>
    <w:rsid w:val="6D185F54"/>
    <w:rsid w:val="6D547772"/>
    <w:rsid w:val="6D5D0BE7"/>
    <w:rsid w:val="6DC04CD2"/>
    <w:rsid w:val="6DDB5FB0"/>
    <w:rsid w:val="6DEE183F"/>
    <w:rsid w:val="6E012760"/>
    <w:rsid w:val="6F345978"/>
    <w:rsid w:val="6F5002D8"/>
    <w:rsid w:val="6FCA008A"/>
    <w:rsid w:val="6FE02FF7"/>
    <w:rsid w:val="70637EFF"/>
    <w:rsid w:val="70657DB3"/>
    <w:rsid w:val="70974410"/>
    <w:rsid w:val="70BD374B"/>
    <w:rsid w:val="70C150BF"/>
    <w:rsid w:val="70C26FB3"/>
    <w:rsid w:val="711F7F62"/>
    <w:rsid w:val="71696DF2"/>
    <w:rsid w:val="71AE3D7E"/>
    <w:rsid w:val="71D21478"/>
    <w:rsid w:val="72563E57"/>
    <w:rsid w:val="729D1FCB"/>
    <w:rsid w:val="72C25048"/>
    <w:rsid w:val="730E4732"/>
    <w:rsid w:val="73780BB9"/>
    <w:rsid w:val="745B39A7"/>
    <w:rsid w:val="749D3837"/>
    <w:rsid w:val="74AC4208"/>
    <w:rsid w:val="758D3181"/>
    <w:rsid w:val="759F78C3"/>
    <w:rsid w:val="75B90985"/>
    <w:rsid w:val="762322A2"/>
    <w:rsid w:val="763C3364"/>
    <w:rsid w:val="7662726E"/>
    <w:rsid w:val="76942021"/>
    <w:rsid w:val="76E00193"/>
    <w:rsid w:val="76F61765"/>
    <w:rsid w:val="77040325"/>
    <w:rsid w:val="77456153"/>
    <w:rsid w:val="77530965"/>
    <w:rsid w:val="779001B2"/>
    <w:rsid w:val="77976AA4"/>
    <w:rsid w:val="77D9530E"/>
    <w:rsid w:val="77E254BB"/>
    <w:rsid w:val="78306EF8"/>
    <w:rsid w:val="78344F69"/>
    <w:rsid w:val="78411105"/>
    <w:rsid w:val="78455A85"/>
    <w:rsid w:val="7880578A"/>
    <w:rsid w:val="78AA4F60"/>
    <w:rsid w:val="78B90C9C"/>
    <w:rsid w:val="78F61EF0"/>
    <w:rsid w:val="791505C8"/>
    <w:rsid w:val="791D747D"/>
    <w:rsid w:val="793F5645"/>
    <w:rsid w:val="797D616D"/>
    <w:rsid w:val="799512AE"/>
    <w:rsid w:val="7A124B07"/>
    <w:rsid w:val="7A46064F"/>
    <w:rsid w:val="7A8D0632"/>
    <w:rsid w:val="7AB026C8"/>
    <w:rsid w:val="7B4231CA"/>
    <w:rsid w:val="7B5A49B8"/>
    <w:rsid w:val="7B86755B"/>
    <w:rsid w:val="7C2D79D7"/>
    <w:rsid w:val="7C444D20"/>
    <w:rsid w:val="7C6C6419"/>
    <w:rsid w:val="7D0726D0"/>
    <w:rsid w:val="7D284642"/>
    <w:rsid w:val="7D39684F"/>
    <w:rsid w:val="7E097FCF"/>
    <w:rsid w:val="7E33329E"/>
    <w:rsid w:val="7E6E237D"/>
    <w:rsid w:val="7E7F64E4"/>
    <w:rsid w:val="7E906943"/>
    <w:rsid w:val="7EC9775F"/>
    <w:rsid w:val="7ECA3C03"/>
    <w:rsid w:val="7EF70770"/>
    <w:rsid w:val="7F4219EB"/>
    <w:rsid w:val="7F7973D7"/>
    <w:rsid w:val="7F9E2999"/>
    <w:rsid w:val="7FA35AFE"/>
    <w:rsid w:val="7FAB3A34"/>
    <w:rsid w:val="7FB52E89"/>
    <w:rsid w:val="7FB70F72"/>
    <w:rsid w:val="7FD30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5"/>
    <w:qFormat/>
    <w:uiPriority w:val="0"/>
    <w:pPr>
      <w:tabs>
        <w:tab w:val="left" w:pos="1128"/>
      </w:tabs>
      <w:spacing w:before="120"/>
      <w:ind w:left="1128" w:hanging="564"/>
      <w:outlineLvl w:val="2"/>
    </w:pPr>
    <w:rPr>
      <w:rFonts w:ascii="Times New Roman" w:hAnsi="Times New Roman" w:eastAsia="宋体" w:cs="Times New Roman"/>
      <w:sz w:val="24"/>
      <w:szCs w:val="20"/>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5">
    <w:name w:val="Body Text First Indent"/>
    <w:basedOn w:val="6"/>
    <w:unhideWhenUsed/>
    <w:qFormat/>
    <w:uiPriority w:val="99"/>
    <w:pPr>
      <w:ind w:firstLine="420" w:firstLineChars="100"/>
    </w:pPr>
  </w:style>
  <w:style w:type="paragraph" w:styleId="6">
    <w:name w:val="Body Text"/>
    <w:basedOn w:val="1"/>
    <w:link w:val="27"/>
    <w:semiHidden/>
    <w:unhideWhenUsed/>
    <w:qFormat/>
    <w:uiPriority w:val="99"/>
    <w:pPr>
      <w:spacing w:after="120"/>
    </w:pPr>
  </w:style>
  <w:style w:type="paragraph" w:styleId="7">
    <w:name w:val="Body Text Indent"/>
    <w:basedOn w:val="1"/>
    <w:autoRedefine/>
    <w:unhideWhenUsed/>
    <w:qFormat/>
    <w:uiPriority w:val="0"/>
    <w:pPr>
      <w:spacing w:after="120"/>
      <w:ind w:left="420" w:leftChars="200"/>
    </w:pPr>
  </w:style>
  <w:style w:type="paragraph" w:styleId="8">
    <w:name w:val="Plain Text"/>
    <w:basedOn w:val="1"/>
    <w:autoRedefine/>
    <w:qFormat/>
    <w:uiPriority w:val="0"/>
    <w:rPr>
      <w:rFonts w:ascii="宋体" w:hAnsi="Courier New" w:cs="Courier New"/>
      <w:szCs w:val="21"/>
    </w:rPr>
  </w:style>
  <w:style w:type="paragraph" w:styleId="9">
    <w:name w:val="Balloon Text"/>
    <w:basedOn w:val="1"/>
    <w:link w:val="29"/>
    <w:autoRedefine/>
    <w:semiHidden/>
    <w:unhideWhenUsed/>
    <w:qFormat/>
    <w:uiPriority w:val="99"/>
    <w:rPr>
      <w:sz w:val="18"/>
      <w:szCs w:val="18"/>
    </w:rPr>
  </w:style>
  <w:style w:type="paragraph" w:styleId="10">
    <w:name w:val="footer"/>
    <w:basedOn w:val="1"/>
    <w:link w:val="24"/>
    <w:autoRedefine/>
    <w:unhideWhenUsed/>
    <w:qFormat/>
    <w:uiPriority w:val="99"/>
    <w:pPr>
      <w:tabs>
        <w:tab w:val="center" w:pos="4153"/>
        <w:tab w:val="right" w:pos="8306"/>
      </w:tabs>
      <w:snapToGrid w:val="0"/>
      <w:jc w:val="left"/>
    </w:pPr>
    <w:rPr>
      <w:sz w:val="18"/>
      <w:szCs w:val="18"/>
    </w:rPr>
  </w:style>
  <w:style w:type="paragraph" w:styleId="11">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List"/>
    <w:basedOn w:val="1"/>
    <w:autoRedefine/>
    <w:qFormat/>
    <w:uiPriority w:val="0"/>
    <w:pPr>
      <w:ind w:left="200" w:hanging="200" w:hangingChars="200"/>
      <w:contextualSpacing/>
    </w:pPr>
  </w:style>
  <w:style w:type="paragraph" w:styleId="13">
    <w:name w:val="footnote text"/>
    <w:basedOn w:val="1"/>
    <w:autoRedefine/>
    <w:qFormat/>
    <w:uiPriority w:val="0"/>
    <w:pPr>
      <w:snapToGrid w:val="0"/>
      <w:jc w:val="left"/>
    </w:pPr>
    <w:rPr>
      <w:sz w:val="18"/>
      <w:szCs w:val="18"/>
    </w:rPr>
  </w:style>
  <w:style w:type="paragraph" w:styleId="14">
    <w:name w:val="Body Text 2"/>
    <w:basedOn w:val="1"/>
    <w:autoRedefine/>
    <w:qFormat/>
    <w:uiPriority w:val="0"/>
    <w:pPr>
      <w:spacing w:after="120" w:line="480" w:lineRule="auto"/>
    </w:pPr>
  </w:style>
  <w:style w:type="paragraph" w:styleId="1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Body Text First Indent 2"/>
    <w:basedOn w:val="7"/>
    <w:next w:val="17"/>
    <w:qFormat/>
    <w:uiPriority w:val="0"/>
    <w:pPr>
      <w:ind w:left="0" w:leftChars="0" w:firstLine="420"/>
    </w:pPr>
    <w:rPr>
      <w:rFonts w:ascii="Times New Roman" w:hAnsi="Times New Roman"/>
      <w:szCs w:val="24"/>
    </w:rPr>
  </w:style>
  <w:style w:type="paragraph" w:customStyle="1" w:styleId="17">
    <w:name w:val="表格文字"/>
    <w:basedOn w:val="12"/>
    <w:next w:val="1"/>
    <w:qFormat/>
    <w:uiPriority w:val="0"/>
    <w:pPr>
      <w:ind w:firstLine="0" w:firstLineChars="0"/>
      <w:jc w:val="center"/>
    </w:pPr>
    <w:rPr>
      <w:szCs w:val="20"/>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bCs/>
    </w:rPr>
  </w:style>
  <w:style w:type="character" w:styleId="22">
    <w:name w:val="Hyperlink"/>
    <w:basedOn w:val="20"/>
    <w:unhideWhenUsed/>
    <w:qFormat/>
    <w:uiPriority w:val="99"/>
    <w:rPr>
      <w:color w:val="0563C1" w:themeColor="hyperlink"/>
      <w:u w:val="single"/>
      <w14:textFill>
        <w14:solidFill>
          <w14:schemeClr w14:val="hlink"/>
        </w14:solidFill>
      </w14:textFill>
    </w:rPr>
  </w:style>
  <w:style w:type="character" w:customStyle="1" w:styleId="23">
    <w:name w:val="页眉 字符"/>
    <w:basedOn w:val="20"/>
    <w:link w:val="11"/>
    <w:qFormat/>
    <w:uiPriority w:val="99"/>
    <w:rPr>
      <w:sz w:val="18"/>
      <w:szCs w:val="18"/>
    </w:rPr>
  </w:style>
  <w:style w:type="character" w:customStyle="1" w:styleId="24">
    <w:name w:val="页脚 字符"/>
    <w:basedOn w:val="20"/>
    <w:link w:val="10"/>
    <w:qFormat/>
    <w:uiPriority w:val="99"/>
    <w:rPr>
      <w:sz w:val="18"/>
      <w:szCs w:val="18"/>
    </w:rPr>
  </w:style>
  <w:style w:type="paragraph" w:styleId="25">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26">
    <w:name w:val="未处理的提及1"/>
    <w:basedOn w:val="20"/>
    <w:semiHidden/>
    <w:unhideWhenUsed/>
    <w:qFormat/>
    <w:uiPriority w:val="99"/>
    <w:rPr>
      <w:color w:val="605E5C"/>
      <w:shd w:val="clear" w:color="auto" w:fill="E1DFDD"/>
    </w:rPr>
  </w:style>
  <w:style w:type="character" w:customStyle="1" w:styleId="27">
    <w:name w:val="正文文本 字符"/>
    <w:basedOn w:val="20"/>
    <w:link w:val="6"/>
    <w:semiHidden/>
    <w:qFormat/>
    <w:uiPriority w:val="99"/>
    <w:rPr>
      <w:kern w:val="2"/>
      <w:sz w:val="21"/>
      <w:szCs w:val="22"/>
    </w:rPr>
  </w:style>
  <w:style w:type="paragraph" w:customStyle="1" w:styleId="28">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9">
    <w:name w:val="批注框文本 字符"/>
    <w:basedOn w:val="20"/>
    <w:link w:val="9"/>
    <w:semiHidden/>
    <w:qFormat/>
    <w:uiPriority w:val="99"/>
    <w:rPr>
      <w:rFonts w:asciiTheme="minorHAnsi" w:hAnsiTheme="minorHAnsi" w:eastAsiaTheme="minorEastAsia" w:cstheme="minorBidi"/>
      <w:kern w:val="2"/>
      <w:sz w:val="18"/>
      <w:szCs w:val="18"/>
    </w:rPr>
  </w:style>
  <w:style w:type="paragraph" w:customStyle="1" w:styleId="30">
    <w:name w:val="正文（缩进）"/>
    <w:basedOn w:val="1"/>
    <w:qFormat/>
    <w:uiPriority w:val="0"/>
    <w:pPr>
      <w:spacing w:before="156" w:after="156"/>
      <w:ind w:firstLine="480"/>
    </w:pPr>
  </w:style>
  <w:style w:type="paragraph" w:customStyle="1" w:styleId="31">
    <w:name w:val="修订2"/>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2">
    <w:name w:val="15"/>
    <w:qFormat/>
    <w:uiPriority w:val="0"/>
    <w:rPr>
      <w:rFonts w:ascii="Arial" w:hAnsi="Arial" w:cs="Arial"/>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1889</Words>
  <Characters>2117</Characters>
  <Lines>29</Lines>
  <Paragraphs>8</Paragraphs>
  <TotalTime>2</TotalTime>
  <ScaleCrop>false</ScaleCrop>
  <LinksUpToDate>false</LinksUpToDate>
  <CharactersWithSpaces>2119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2021-03-11T01:18:00Z</dcterms:created>
  <dc:creator>L YY</dc:creator>
  <cp:lastModifiedBy>邵蔚</cp:lastModifiedBy>
  <cp:lastPrinted>2024-12-16T03:20:00Z</cp:lastPrinted>
  <dcterms:modified xsi:type="dcterms:W3CDTF">2025-06-17T00:47:27Z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337FC94BAEB34AF08B2EEAF826A78C85_13</vt:lpwstr>
  </property>
  <property fmtid="{D5CDD505-2E9C-101B-9397-08002B2CF9AE}" pid="4" name="KSOTemplateDocerSaveRecord">
    <vt:lpwstr>eyJoZGlkIjoiMzc3OGQzZDJmOWY1MWRhNWQzMjE1MjM5OTA0MTRmZGMiLCJ1c2VySWQiOiIxNjI2MTI0NjA1In0=</vt:lpwstr>
  </property>
</Properties>
</file>