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8DDD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附件1</w:t>
      </w:r>
    </w:p>
    <w:p w14:paraId="79B6DF2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/>
        <w:ind w:left="0" w:firstLine="0"/>
        <w:jc w:val="center"/>
        <w:textAlignment w:val="auto"/>
        <w:rPr>
          <w:rFonts w:ascii="Arial" w:hAnsi="Arial" w:cs="Arial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综合评审标准</w:t>
      </w:r>
    </w:p>
    <w:tbl>
      <w:tblPr>
        <w:tblStyle w:val="3"/>
        <w:tblW w:w="84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1"/>
        <w:gridCol w:w="1035"/>
        <w:gridCol w:w="6172"/>
        <w:gridCol w:w="683"/>
      </w:tblGrid>
      <w:tr w14:paraId="0C278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153C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5C7F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内容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DFDC4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评分标准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6294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分值</w:t>
            </w:r>
          </w:p>
        </w:tc>
      </w:tr>
      <w:tr w14:paraId="14F12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27A2A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58C08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项目报价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87FC6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未按要求报价的，或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投标报价超过项目控标价的，投标无效，未超过控标价的投标报价按以下公式进行计算价格得分</w:t>
            </w:r>
          </w:p>
          <w:p w14:paraId="7129CF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投标报价得分=（评标基准价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 / 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投标报价）×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0</w:t>
            </w:r>
          </w:p>
          <w:p w14:paraId="3CC83B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注：满足招标文件要求且投标报价最低的投标报价为评标基准价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8A5B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0分</w:t>
            </w:r>
          </w:p>
        </w:tc>
      </w:tr>
      <w:tr w14:paraId="2AC60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CD78F4F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86EE476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服务方案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97A32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项目服务方案的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可行性、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合理性、完备性，体检服务管理服务承诺等：</w:t>
            </w:r>
          </w:p>
          <w:p w14:paraId="7467AC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方案合理、可行性强，能满足项目需求，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得21～30分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；</w:t>
            </w:r>
          </w:p>
          <w:p w14:paraId="7AE1B6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方案较合理，能满足项目需求，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得11～20分，</w:t>
            </w:r>
          </w:p>
          <w:p w14:paraId="1B80D4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方案一般，能基本满足项目需求，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得0～10分。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FA8A654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0分</w:t>
            </w:r>
          </w:p>
        </w:tc>
      </w:tr>
      <w:tr w14:paraId="27FFE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91E74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7C31F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体检项目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39033E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在公告第二条基础上，增加检测项目，10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分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；</w:t>
            </w:r>
          </w:p>
          <w:p w14:paraId="0E2D9BE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仅提供公告第二条包含得检测项目，得5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分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58083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0分</w:t>
            </w:r>
          </w:p>
        </w:tc>
      </w:tr>
      <w:tr w14:paraId="569C1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B0D4D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03BFB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配置医师从业经验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617A26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至少有3人从业10年以上，得10分；</w:t>
            </w:r>
          </w:p>
          <w:p w14:paraId="06D371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至少有3人从业5年以上，10年以下，得5分。</w:t>
            </w:r>
          </w:p>
          <w:p w14:paraId="64D823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均从业5年以下，得2分。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2E50D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10分</w:t>
            </w:r>
          </w:p>
        </w:tc>
      </w:tr>
      <w:tr w14:paraId="578DC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E0F6F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68728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交通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环境</w:t>
            </w:r>
          </w:p>
        </w:tc>
        <w:tc>
          <w:tcPr>
            <w:tcW w:w="61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410B8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交通便利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坐落地址到本公司办公地点（天津市北辰区双街镇东鹏智谷国际商务港二期智锐园11-2）距离。（需提供本公司办公地点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到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投标方体检场所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导航地图截图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）</w:t>
            </w:r>
          </w:p>
          <w:p w14:paraId="33A7A95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距离&lt;10公里。得10分；</w:t>
            </w:r>
          </w:p>
          <w:p w14:paraId="7CE3FD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距离≧10公里&lt;20公里，得5分；</w:t>
            </w:r>
          </w:p>
          <w:p w14:paraId="04EE1A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jc w:val="both"/>
              <w:textAlignment w:val="auto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距离≧20公里，得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分。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A04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分</w:t>
            </w:r>
          </w:p>
        </w:tc>
      </w:tr>
      <w:tr w14:paraId="3EA78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637A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6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DBB9C99">
            <w:pPr>
              <w:pStyle w:val="2"/>
              <w:keepNext w:val="0"/>
              <w:keepLines w:val="0"/>
              <w:widowControl/>
              <w:suppressLineNumbers w:val="0"/>
              <w:spacing w:before="0" w:beforeAutospacing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100分</w:t>
            </w:r>
          </w:p>
        </w:tc>
      </w:tr>
    </w:tbl>
    <w:p w14:paraId="4277E0EE"/>
    <w:sectPr>
      <w:pgSz w:w="11906" w:h="16838"/>
      <w:pgMar w:top="850" w:right="1800" w:bottom="850" w:left="1800" w:header="851" w:footer="992" w:gutter="0"/>
      <w:paperSrc/>
      <w:cols w:space="0" w:num="1"/>
      <w:rtlGutter w:val="0"/>
      <w:docGrid w:type="linesAndChars" w:linePitch="606" w:charSpace="-47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48"/>
  <w:drawingGridVerticalSpacing w:val="30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96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2025-11-14T03:04:19Z</dcterms:created>
  <dc:creator>75762</dc:creator>
  <cp:lastModifiedBy>胡婧雯</cp:lastModifiedBy>
  <dcterms:modified xsi:type="dcterms:W3CDTF">2025-11-14T03:07:24Z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eyJoZGlkIjoiOTg0OWNiZTFlYmYwMGYwOTczNTNmYmM0ZmNhZWRkZjEiLCJ1c2VySWQiOiIxNjc0MTcxMzk1In0=</vt:lpwstr>
  </property>
  <property fmtid="{D5CDD505-2E9C-101B-9397-08002B2CF9AE}" pid="4" name="ICV">
    <vt:lpwstr>424DD59363464150A313800C4524BE3D_12</vt:lpwstr>
  </property>
</Properties>
</file>