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2E582">
      <w:pPr>
        <w:pageBreakBefore w:val="0"/>
        <w:kinsoku/>
        <w:wordWrap/>
        <w:overflowPunct/>
        <w:topLinePunct w:val="0"/>
        <w:bidi w:val="0"/>
        <w:adjustRightInd/>
        <w:snapToGrid/>
        <w:spacing w:afterAutospacing="0" w:line="240" w:lineRule="auto"/>
        <w:jc w:val="center"/>
        <w:textAlignment w:val="auto"/>
        <w:rPr>
          <w:shd w:val="clear" w:color="auto" w:fill="auto"/>
        </w:rPr>
      </w:pPr>
      <w:r>
        <w:rPr>
          <w:rFonts w:hint="eastAsia" w:ascii="宋体" w:hAnsi="宋体" w:cs="宋体"/>
          <w:bCs/>
          <w:sz w:val="48"/>
          <w:szCs w:val="48"/>
          <w:highlight w:val="none"/>
          <w:shd w:val="clear" w:color="auto" w:fill="auto"/>
        </w:rPr>
        <w:t>引滦原水预处理厂工程施工（第2标段）-钢结构屋面采购及安装专业分包</w:t>
      </w:r>
    </w:p>
    <w:p w14:paraId="658B95E0">
      <w:pPr>
        <w:pageBreakBefore w:val="0"/>
        <w:widowControl/>
        <w:kinsoku/>
        <w:wordWrap/>
        <w:overflowPunct/>
        <w:topLinePunct w:val="0"/>
        <w:bidi w:val="0"/>
        <w:adjustRightInd/>
        <w:snapToGrid/>
        <w:spacing w:afterAutospacing="0" w:line="240" w:lineRule="auto"/>
        <w:jc w:val="center"/>
        <w:textAlignment w:val="auto"/>
        <w:rPr>
          <w:rFonts w:hint="eastAsia" w:ascii="宋体" w:hAnsi="宋体" w:cs="宋体"/>
          <w:bCs/>
          <w:sz w:val="72"/>
          <w:szCs w:val="72"/>
          <w:shd w:val="clear" w:color="auto" w:fill="auto"/>
        </w:rPr>
      </w:pPr>
    </w:p>
    <w:p w14:paraId="37019090">
      <w:pPr>
        <w:pageBreakBefore w:val="0"/>
        <w:widowControl/>
        <w:kinsoku/>
        <w:wordWrap/>
        <w:overflowPunct/>
        <w:topLinePunct w:val="0"/>
        <w:bidi w:val="0"/>
        <w:adjustRightInd/>
        <w:snapToGrid/>
        <w:spacing w:afterAutospacing="0" w:line="240" w:lineRule="auto"/>
        <w:jc w:val="center"/>
        <w:textAlignment w:val="auto"/>
        <w:rPr>
          <w:rFonts w:hint="eastAsia" w:ascii="宋体" w:hAnsi="宋体" w:cs="宋体"/>
          <w:bCs/>
          <w:sz w:val="72"/>
          <w:szCs w:val="72"/>
          <w:shd w:val="clear" w:color="auto" w:fill="auto"/>
        </w:rPr>
      </w:pPr>
    </w:p>
    <w:p w14:paraId="5213A427">
      <w:pPr>
        <w:pageBreakBefore w:val="0"/>
        <w:widowControl/>
        <w:kinsoku/>
        <w:wordWrap/>
        <w:overflowPunct/>
        <w:topLinePunct w:val="0"/>
        <w:bidi w:val="0"/>
        <w:adjustRightInd/>
        <w:snapToGrid/>
        <w:spacing w:afterAutospacing="0" w:line="240" w:lineRule="auto"/>
        <w:jc w:val="center"/>
        <w:textAlignment w:val="auto"/>
        <w:rPr>
          <w:rFonts w:hint="eastAsia" w:ascii="宋体" w:hAnsi="宋体" w:cs="宋体"/>
          <w:bCs/>
          <w:sz w:val="72"/>
          <w:szCs w:val="72"/>
          <w:shd w:val="clear" w:color="auto" w:fill="auto"/>
        </w:rPr>
      </w:pPr>
    </w:p>
    <w:p w14:paraId="568D3CB7">
      <w:pPr>
        <w:pageBreakBefore w:val="0"/>
        <w:widowControl/>
        <w:kinsoku/>
        <w:wordWrap/>
        <w:overflowPunct/>
        <w:topLinePunct w:val="0"/>
        <w:bidi w:val="0"/>
        <w:adjustRightInd/>
        <w:snapToGrid/>
        <w:spacing w:afterAutospacing="0" w:line="240" w:lineRule="auto"/>
        <w:jc w:val="center"/>
        <w:textAlignment w:val="auto"/>
        <w:rPr>
          <w:rFonts w:hint="eastAsia" w:ascii="宋体" w:hAnsi="宋体" w:cs="宋体"/>
          <w:bCs/>
          <w:sz w:val="72"/>
          <w:szCs w:val="72"/>
          <w:shd w:val="clear" w:color="auto" w:fill="auto"/>
        </w:rPr>
      </w:pPr>
      <w:r>
        <w:rPr>
          <w:rFonts w:hint="eastAsia" w:ascii="宋体" w:hAnsi="宋体" w:cs="宋体"/>
          <w:bCs/>
          <w:sz w:val="72"/>
          <w:szCs w:val="72"/>
          <w:shd w:val="clear" w:color="auto" w:fill="auto"/>
        </w:rPr>
        <w:t>招标文件</w:t>
      </w:r>
    </w:p>
    <w:p w14:paraId="035F1C70">
      <w:pPr>
        <w:pageBreakBefore w:val="0"/>
        <w:widowControl/>
        <w:kinsoku/>
        <w:wordWrap/>
        <w:overflowPunct/>
        <w:topLinePunct w:val="0"/>
        <w:bidi w:val="0"/>
        <w:adjustRightInd/>
        <w:snapToGrid/>
        <w:spacing w:afterAutospacing="0" w:line="240" w:lineRule="auto"/>
        <w:jc w:val="center"/>
        <w:textAlignment w:val="auto"/>
        <w:rPr>
          <w:rFonts w:hint="eastAsia" w:ascii="宋体" w:hAnsi="宋体" w:cs="宋体"/>
          <w:bCs/>
          <w:sz w:val="30"/>
          <w:szCs w:val="30"/>
          <w:shd w:val="clear" w:color="auto" w:fill="auto"/>
        </w:rPr>
      </w:pPr>
    </w:p>
    <w:p w14:paraId="72D2B400">
      <w:pPr>
        <w:pageBreakBefore w:val="0"/>
        <w:widowControl/>
        <w:kinsoku/>
        <w:wordWrap/>
        <w:overflowPunct/>
        <w:topLinePunct w:val="0"/>
        <w:bidi w:val="0"/>
        <w:adjustRightInd/>
        <w:snapToGrid/>
        <w:spacing w:afterAutospacing="0" w:line="240" w:lineRule="auto"/>
        <w:jc w:val="center"/>
        <w:textAlignment w:val="auto"/>
        <w:rPr>
          <w:rFonts w:hint="eastAsia" w:ascii="宋体" w:hAnsi="宋体" w:cs="宋体"/>
          <w:bCs/>
          <w:sz w:val="30"/>
          <w:szCs w:val="30"/>
          <w:shd w:val="clear" w:color="auto" w:fill="auto"/>
        </w:rPr>
      </w:pPr>
    </w:p>
    <w:p w14:paraId="18505080">
      <w:pPr>
        <w:pageBreakBefore w:val="0"/>
        <w:widowControl/>
        <w:kinsoku/>
        <w:wordWrap/>
        <w:overflowPunct/>
        <w:topLinePunct w:val="0"/>
        <w:bidi w:val="0"/>
        <w:adjustRightInd/>
        <w:snapToGrid/>
        <w:spacing w:afterAutospacing="0" w:line="240" w:lineRule="auto"/>
        <w:ind w:firstLine="2400" w:firstLineChars="800"/>
        <w:textAlignment w:val="auto"/>
        <w:rPr>
          <w:rFonts w:hint="eastAsia" w:ascii="宋体" w:hAnsi="宋体" w:cs="宋体"/>
          <w:bCs/>
          <w:sz w:val="30"/>
          <w:szCs w:val="30"/>
          <w:shd w:val="clear" w:color="auto" w:fill="auto"/>
        </w:rPr>
      </w:pPr>
    </w:p>
    <w:p w14:paraId="5C2CF293">
      <w:pPr>
        <w:pageBreakBefore w:val="0"/>
        <w:widowControl/>
        <w:kinsoku/>
        <w:wordWrap/>
        <w:overflowPunct/>
        <w:topLinePunct w:val="0"/>
        <w:bidi w:val="0"/>
        <w:adjustRightInd/>
        <w:snapToGrid/>
        <w:spacing w:afterAutospacing="0" w:line="240" w:lineRule="auto"/>
        <w:jc w:val="center"/>
        <w:textAlignment w:val="auto"/>
        <w:rPr>
          <w:rFonts w:hint="eastAsia" w:ascii="宋体" w:hAnsi="宋体" w:cs="宋体"/>
          <w:bCs/>
          <w:sz w:val="30"/>
          <w:szCs w:val="30"/>
          <w:shd w:val="clear" w:color="auto" w:fill="auto"/>
        </w:rPr>
      </w:pPr>
      <w:r>
        <w:rPr>
          <w:rFonts w:hint="eastAsia" w:ascii="宋体" w:hAnsi="宋体" w:cs="宋体"/>
          <w:bCs/>
          <w:sz w:val="30"/>
          <w:szCs w:val="30"/>
          <w:shd w:val="clear" w:color="auto" w:fill="auto"/>
        </w:rPr>
        <w:t xml:space="preserve">                          </w:t>
      </w:r>
    </w:p>
    <w:p w14:paraId="4362D475">
      <w:pPr>
        <w:pageBreakBefore w:val="0"/>
        <w:widowControl/>
        <w:kinsoku/>
        <w:wordWrap/>
        <w:overflowPunct/>
        <w:topLinePunct w:val="0"/>
        <w:bidi w:val="0"/>
        <w:adjustRightInd/>
        <w:snapToGrid/>
        <w:spacing w:afterAutospacing="0" w:line="240" w:lineRule="auto"/>
        <w:jc w:val="center"/>
        <w:textAlignment w:val="auto"/>
        <w:rPr>
          <w:rFonts w:hint="eastAsia" w:ascii="宋体" w:hAnsi="宋体" w:cs="宋体"/>
          <w:bCs/>
          <w:sz w:val="30"/>
          <w:szCs w:val="30"/>
          <w:shd w:val="clear" w:color="auto" w:fill="auto"/>
        </w:rPr>
      </w:pPr>
    </w:p>
    <w:p w14:paraId="417D6B4A">
      <w:pPr>
        <w:pStyle w:val="15"/>
        <w:pageBreakBefore w:val="0"/>
        <w:kinsoku/>
        <w:wordWrap/>
        <w:overflowPunct/>
        <w:topLinePunct w:val="0"/>
        <w:bidi w:val="0"/>
        <w:adjustRightInd/>
        <w:snapToGrid/>
        <w:spacing w:afterAutospacing="0" w:line="240" w:lineRule="auto"/>
        <w:textAlignment w:val="auto"/>
        <w:rPr>
          <w:rFonts w:hint="eastAsia" w:ascii="宋体" w:hAnsi="宋体" w:cs="宋体"/>
          <w:bCs/>
          <w:sz w:val="30"/>
          <w:szCs w:val="30"/>
          <w:shd w:val="clear" w:color="auto" w:fill="auto"/>
        </w:rPr>
      </w:pPr>
    </w:p>
    <w:p w14:paraId="0389C71C">
      <w:pPr>
        <w:pageBreakBefore w:val="0"/>
        <w:kinsoku/>
        <w:wordWrap/>
        <w:overflowPunct/>
        <w:topLinePunct w:val="0"/>
        <w:bidi w:val="0"/>
        <w:adjustRightInd/>
        <w:snapToGrid/>
        <w:spacing w:afterAutospacing="0" w:line="240" w:lineRule="auto"/>
        <w:textAlignment w:val="auto"/>
        <w:rPr>
          <w:rFonts w:hint="eastAsia" w:ascii="宋体" w:hAnsi="宋体" w:cs="宋体"/>
          <w:bCs/>
          <w:sz w:val="30"/>
          <w:szCs w:val="30"/>
          <w:shd w:val="clear" w:color="auto" w:fill="auto"/>
        </w:rPr>
      </w:pPr>
    </w:p>
    <w:p w14:paraId="57A82CC0">
      <w:pPr>
        <w:pageBreakBefore w:val="0"/>
        <w:widowControl/>
        <w:kinsoku/>
        <w:wordWrap/>
        <w:overflowPunct/>
        <w:topLinePunct w:val="0"/>
        <w:bidi w:val="0"/>
        <w:adjustRightInd/>
        <w:snapToGrid/>
        <w:spacing w:afterAutospacing="0" w:line="240" w:lineRule="auto"/>
        <w:textAlignment w:val="auto"/>
        <w:rPr>
          <w:rFonts w:hint="eastAsia" w:ascii="宋体" w:hAnsi="宋体" w:cs="宋体"/>
          <w:bCs/>
          <w:sz w:val="30"/>
          <w:szCs w:val="30"/>
          <w:shd w:val="clear" w:color="auto" w:fill="auto"/>
        </w:rPr>
      </w:pPr>
    </w:p>
    <w:p w14:paraId="69C9A8B3">
      <w:pPr>
        <w:pageBreakBefore w:val="0"/>
        <w:widowControl/>
        <w:kinsoku/>
        <w:wordWrap/>
        <w:overflowPunct/>
        <w:topLinePunct w:val="0"/>
        <w:bidi w:val="0"/>
        <w:adjustRightInd/>
        <w:snapToGrid/>
        <w:spacing w:afterAutospacing="0" w:line="240" w:lineRule="auto"/>
        <w:textAlignment w:val="auto"/>
        <w:rPr>
          <w:rFonts w:hint="eastAsia" w:ascii="宋体" w:hAnsi="宋体" w:cs="宋体"/>
          <w:bCs/>
          <w:sz w:val="30"/>
          <w:szCs w:val="30"/>
          <w:shd w:val="clear" w:color="auto" w:fill="auto"/>
        </w:rPr>
      </w:pPr>
    </w:p>
    <w:p w14:paraId="7859CAE4">
      <w:pPr>
        <w:pageBreakBefore w:val="0"/>
        <w:kinsoku/>
        <w:wordWrap/>
        <w:overflowPunct/>
        <w:topLinePunct w:val="0"/>
        <w:bidi w:val="0"/>
        <w:adjustRightInd/>
        <w:snapToGrid/>
        <w:spacing w:before="156" w:beforeLines="50" w:afterAutospacing="0" w:line="240" w:lineRule="auto"/>
        <w:jc w:val="left"/>
        <w:textAlignment w:val="auto"/>
        <w:rPr>
          <w:rFonts w:hint="eastAsia" w:ascii="宋体" w:hAnsi="宋体" w:cs="宋体"/>
          <w:bCs/>
          <w:sz w:val="32"/>
          <w:szCs w:val="32"/>
          <w:shd w:val="clear" w:color="auto" w:fill="auto"/>
        </w:rPr>
      </w:pPr>
      <w:r>
        <w:rPr>
          <w:rFonts w:hint="eastAsia" w:ascii="宋体" w:hAnsi="宋体" w:cs="宋体"/>
          <w:bCs/>
          <w:sz w:val="32"/>
          <w:szCs w:val="32"/>
          <w:shd w:val="clear" w:color="auto" w:fill="auto"/>
        </w:rPr>
        <w:t>招 标 人：天津市管道工程集团有限公司第八分公司</w:t>
      </w:r>
    </w:p>
    <w:p w14:paraId="27C9944D">
      <w:pPr>
        <w:pageBreakBefore w:val="0"/>
        <w:kinsoku/>
        <w:wordWrap/>
        <w:overflowPunct/>
        <w:topLinePunct w:val="0"/>
        <w:bidi w:val="0"/>
        <w:adjustRightInd/>
        <w:snapToGrid/>
        <w:spacing w:before="156" w:beforeLines="50" w:afterAutospacing="0" w:line="240" w:lineRule="auto"/>
        <w:ind w:firstLine="320" w:firstLineChars="100"/>
        <w:jc w:val="left"/>
        <w:textAlignment w:val="auto"/>
        <w:rPr>
          <w:rFonts w:hint="eastAsia" w:ascii="宋体" w:hAnsi="宋体" w:cs="宋体"/>
          <w:bCs/>
          <w:sz w:val="32"/>
          <w:szCs w:val="32"/>
          <w:shd w:val="clear" w:color="auto" w:fill="auto"/>
        </w:rPr>
      </w:pPr>
      <w:r>
        <w:rPr>
          <w:rFonts w:hint="eastAsia" w:ascii="宋体" w:hAnsi="宋体" w:cs="宋体"/>
          <w:bCs/>
          <w:sz w:val="32"/>
          <w:szCs w:val="32"/>
          <w:shd w:val="clear" w:color="auto" w:fill="auto"/>
        </w:rPr>
        <w:t xml:space="preserve">日  </w:t>
      </w:r>
      <w:r>
        <w:rPr>
          <w:rFonts w:hint="eastAsia" w:ascii="宋体" w:hAnsi="宋体" w:cs="宋体"/>
          <w:bCs/>
          <w:sz w:val="32"/>
          <w:szCs w:val="32"/>
          <w:highlight w:val="none"/>
          <w:shd w:val="clear" w:color="auto" w:fill="auto"/>
        </w:rPr>
        <w:t>期：202</w:t>
      </w:r>
      <w:r>
        <w:rPr>
          <w:rFonts w:hint="eastAsia" w:ascii="宋体" w:hAnsi="宋体" w:cs="宋体"/>
          <w:bCs/>
          <w:sz w:val="32"/>
          <w:szCs w:val="32"/>
          <w:highlight w:val="none"/>
          <w:shd w:val="clear" w:color="auto" w:fill="auto"/>
          <w:lang w:val="en-US" w:eastAsia="zh-CN"/>
        </w:rPr>
        <w:t>6</w:t>
      </w:r>
      <w:r>
        <w:rPr>
          <w:rFonts w:hint="eastAsia" w:ascii="宋体" w:hAnsi="宋体" w:cs="宋体"/>
          <w:bCs/>
          <w:sz w:val="32"/>
          <w:szCs w:val="32"/>
          <w:highlight w:val="none"/>
          <w:shd w:val="clear" w:color="auto" w:fill="auto"/>
        </w:rPr>
        <w:t>年</w:t>
      </w:r>
      <w:r>
        <w:rPr>
          <w:rFonts w:hint="eastAsia" w:ascii="宋体" w:hAnsi="宋体" w:cs="宋体"/>
          <w:bCs/>
          <w:sz w:val="32"/>
          <w:szCs w:val="32"/>
          <w:highlight w:val="none"/>
          <w:shd w:val="clear" w:color="auto" w:fill="auto"/>
          <w:lang w:val="en-US" w:eastAsia="zh-CN"/>
        </w:rPr>
        <w:t>7</w:t>
      </w:r>
      <w:r>
        <w:rPr>
          <w:rFonts w:hint="eastAsia" w:ascii="宋体" w:hAnsi="宋体" w:cs="宋体"/>
          <w:bCs/>
          <w:sz w:val="32"/>
          <w:szCs w:val="32"/>
          <w:highlight w:val="none"/>
          <w:shd w:val="clear" w:color="auto" w:fill="auto"/>
        </w:rPr>
        <w:t>月</w:t>
      </w:r>
      <w:r>
        <w:rPr>
          <w:rFonts w:hint="eastAsia" w:ascii="宋体" w:hAnsi="宋体" w:cs="宋体"/>
          <w:bCs/>
          <w:sz w:val="32"/>
          <w:szCs w:val="32"/>
          <w:highlight w:val="none"/>
          <w:shd w:val="clear" w:color="auto" w:fill="auto"/>
          <w:lang w:val="en-US" w:eastAsia="zh-CN"/>
        </w:rPr>
        <w:t>13</w:t>
      </w:r>
      <w:r>
        <w:rPr>
          <w:rFonts w:hint="eastAsia" w:ascii="宋体" w:hAnsi="宋体" w:cs="宋体"/>
          <w:bCs/>
          <w:sz w:val="32"/>
          <w:szCs w:val="32"/>
          <w:highlight w:val="none"/>
          <w:shd w:val="clear" w:color="auto" w:fill="auto"/>
        </w:rPr>
        <w:t>日</w:t>
      </w:r>
    </w:p>
    <w:p w14:paraId="7B4B1108">
      <w:pPr>
        <w:pStyle w:val="15"/>
        <w:pageBreakBefore w:val="0"/>
        <w:kinsoku/>
        <w:wordWrap/>
        <w:overflowPunct/>
        <w:topLinePunct w:val="0"/>
        <w:bidi w:val="0"/>
        <w:adjustRightInd/>
        <w:snapToGrid/>
        <w:spacing w:afterAutospacing="0" w:line="240" w:lineRule="auto"/>
        <w:jc w:val="center"/>
        <w:textAlignment w:val="auto"/>
        <w:rPr>
          <w:rFonts w:hint="eastAsia" w:ascii="宋体" w:hAnsi="宋体" w:eastAsia="宋体" w:cs="宋体"/>
          <w:bCs/>
          <w:shd w:val="clear" w:color="auto" w:fill="auto"/>
        </w:rPr>
      </w:pPr>
    </w:p>
    <w:p w14:paraId="02D53AFA">
      <w:pPr>
        <w:pageBreakBefore w:val="0"/>
        <w:kinsoku/>
        <w:wordWrap/>
        <w:overflowPunct/>
        <w:topLinePunct w:val="0"/>
        <w:bidi w:val="0"/>
        <w:adjustRightInd/>
        <w:snapToGrid/>
        <w:spacing w:afterAutospacing="0" w:line="240" w:lineRule="auto"/>
        <w:jc w:val="center"/>
        <w:textAlignment w:val="auto"/>
        <w:rPr>
          <w:rFonts w:hint="eastAsia" w:ascii="宋体" w:hAnsi="宋体" w:cs="宋体"/>
          <w:sz w:val="28"/>
          <w:szCs w:val="28"/>
          <w:shd w:val="clear" w:color="auto" w:fill="auto"/>
        </w:rPr>
        <w:sectPr>
          <w:headerReference r:id="rId5" w:type="first"/>
          <w:footerReference r:id="rId8" w:type="first"/>
          <w:headerReference r:id="rId3" w:type="default"/>
          <w:footerReference r:id="rId6" w:type="default"/>
          <w:headerReference r:id="rId4" w:type="even"/>
          <w:footerReference r:id="rId7" w:type="even"/>
          <w:pgSz w:w="11906" w:h="16838"/>
          <w:pgMar w:top="1440" w:right="1701" w:bottom="1440" w:left="1701" w:header="851" w:footer="992" w:gutter="0"/>
          <w:pgNumType w:start="1"/>
          <w:cols w:space="720" w:num="1"/>
          <w:docGrid w:type="lines" w:linePitch="312" w:charSpace="0"/>
        </w:sectPr>
      </w:pPr>
    </w:p>
    <w:p w14:paraId="70CDA092">
      <w:pPr>
        <w:pageBreakBefore w:val="0"/>
        <w:widowControl/>
        <w:kinsoku/>
        <w:wordWrap/>
        <w:overflowPunct/>
        <w:topLinePunct w:val="0"/>
        <w:bidi w:val="0"/>
        <w:adjustRightInd/>
        <w:snapToGrid/>
        <w:spacing w:afterAutospacing="0" w:line="240" w:lineRule="auto"/>
        <w:jc w:val="center"/>
        <w:textAlignment w:val="auto"/>
        <w:rPr>
          <w:rFonts w:hint="eastAsia" w:ascii="宋体" w:hAnsi="宋体" w:cs="宋体"/>
          <w:b/>
          <w:bCs/>
          <w:sz w:val="28"/>
          <w:szCs w:val="28"/>
          <w:shd w:val="clear" w:color="auto" w:fill="auto"/>
        </w:rPr>
      </w:pPr>
      <w:r>
        <w:rPr>
          <w:rFonts w:hint="eastAsia" w:ascii="宋体" w:hAnsi="宋体" w:cs="宋体"/>
          <w:b/>
          <w:bCs/>
          <w:sz w:val="28"/>
          <w:szCs w:val="28"/>
          <w:shd w:val="clear" w:color="auto" w:fill="auto"/>
        </w:rPr>
        <w:t>引滦原水预处理厂工程施工（第2标段）-钢结构屋面采购及安装专业分包</w:t>
      </w:r>
      <w:r>
        <w:rPr>
          <w:rFonts w:hint="eastAsia" w:ascii="宋体" w:hAnsi="宋体" w:cs="宋体"/>
          <w:b/>
          <w:bCs/>
          <w:sz w:val="28"/>
          <w:szCs w:val="28"/>
          <w:highlight w:val="none"/>
          <w:shd w:val="clear" w:color="auto" w:fill="auto"/>
        </w:rPr>
        <w:t>招标公告</w:t>
      </w:r>
    </w:p>
    <w:p w14:paraId="1B9604C4">
      <w:pPr>
        <w:keepNext w:val="0"/>
        <w:keepLines w:val="0"/>
        <w:pageBreakBefore w:val="0"/>
        <w:widowControl/>
        <w:kinsoku/>
        <w:wordWrap/>
        <w:overflowPunct/>
        <w:topLinePunct w:val="0"/>
        <w:autoSpaceDE/>
        <w:autoSpaceDN/>
        <w:bidi w:val="0"/>
        <w:adjustRightInd/>
        <w:snapToGrid/>
        <w:spacing w:afterAutospacing="0" w:line="240" w:lineRule="auto"/>
        <w:jc w:val="left"/>
        <w:textAlignment w:val="auto"/>
        <w:rPr>
          <w:rFonts w:hint="eastAsia" w:ascii="宋体" w:hAnsi="宋体" w:cs="宋体"/>
          <w:sz w:val="24"/>
          <w:shd w:val="clear" w:color="auto" w:fill="auto"/>
        </w:rPr>
      </w:pPr>
      <w:r>
        <w:rPr>
          <w:rFonts w:hint="eastAsia" w:ascii="宋体" w:hAnsi="宋体" w:cs="宋体"/>
          <w:sz w:val="24"/>
          <w:shd w:val="clear" w:color="auto" w:fill="auto"/>
        </w:rPr>
        <w:t xml:space="preserve">项目所在地区：天津市 </w:t>
      </w:r>
    </w:p>
    <w:p w14:paraId="65419344">
      <w:pPr>
        <w:keepNext w:val="0"/>
        <w:keepLines w:val="0"/>
        <w:pageBreakBefore w:val="0"/>
        <w:widowControl/>
        <w:kinsoku/>
        <w:wordWrap/>
        <w:overflowPunct/>
        <w:topLinePunct w:val="0"/>
        <w:autoSpaceDE/>
        <w:autoSpaceDN/>
        <w:bidi w:val="0"/>
        <w:adjustRightInd/>
        <w:snapToGrid/>
        <w:spacing w:afterAutospacing="0" w:line="240" w:lineRule="auto"/>
        <w:jc w:val="left"/>
        <w:textAlignment w:val="auto"/>
        <w:rPr>
          <w:rFonts w:hint="eastAsia" w:ascii="宋体" w:hAnsi="宋体" w:cs="宋体"/>
          <w:b/>
          <w:bCs/>
          <w:sz w:val="24"/>
          <w:shd w:val="clear" w:color="auto" w:fill="auto"/>
        </w:rPr>
      </w:pPr>
      <w:r>
        <w:rPr>
          <w:rFonts w:hint="eastAsia" w:ascii="宋体" w:hAnsi="宋体" w:cs="宋体"/>
          <w:b/>
          <w:bCs/>
          <w:sz w:val="24"/>
          <w:shd w:val="clear" w:color="auto" w:fill="auto"/>
        </w:rPr>
        <w:t xml:space="preserve">一、招标条件 </w:t>
      </w:r>
    </w:p>
    <w:p w14:paraId="1FBB7D29">
      <w:pPr>
        <w:keepNext w:val="0"/>
        <w:keepLines w:val="0"/>
        <w:pageBreakBefore w:val="0"/>
        <w:widowControl/>
        <w:kinsoku/>
        <w:wordWrap/>
        <w:overflowPunct/>
        <w:topLinePunct w:val="0"/>
        <w:autoSpaceDE/>
        <w:autoSpaceDN/>
        <w:bidi w:val="0"/>
        <w:adjustRightInd/>
        <w:snapToGrid/>
        <w:spacing w:afterAutospacing="0" w:line="240" w:lineRule="auto"/>
        <w:ind w:firstLine="480" w:firstLineChars="200"/>
        <w:jc w:val="left"/>
        <w:textAlignment w:val="auto"/>
        <w:rPr>
          <w:rFonts w:hint="eastAsia" w:ascii="宋体" w:hAnsi="宋体" w:cs="宋体"/>
          <w:sz w:val="24"/>
          <w:shd w:val="clear" w:color="auto" w:fill="auto"/>
        </w:rPr>
      </w:pPr>
      <w:r>
        <w:rPr>
          <w:rFonts w:hint="eastAsia" w:ascii="宋体" w:hAnsi="宋体" w:cs="宋体"/>
          <w:sz w:val="24"/>
          <w:shd w:val="clear" w:color="auto" w:fill="auto"/>
        </w:rPr>
        <w:t>本天津</w:t>
      </w:r>
      <w:r>
        <w:rPr>
          <w:rFonts w:hint="eastAsia" w:ascii="宋体" w:hAnsi="宋体" w:cs="宋体"/>
          <w:sz w:val="24"/>
          <w:highlight w:val="none"/>
          <w:shd w:val="clear" w:color="auto" w:fill="auto"/>
        </w:rPr>
        <w:t>市管道工程集团有限公司第八分公司引滦原水预处理厂工程施工（第2标段）-钢结构屋面采购及安装专业分包项目，项目资金预算为：自筹资金</w:t>
      </w:r>
      <w:r>
        <w:rPr>
          <w:rFonts w:hint="eastAsia" w:ascii="宋体" w:hAnsi="宋体" w:cs="宋体"/>
          <w:sz w:val="24"/>
          <w:highlight w:val="none"/>
          <w:shd w:val="clear" w:color="auto" w:fill="auto"/>
          <w:lang w:val="en-US" w:eastAsia="zh-CN"/>
        </w:rPr>
        <w:t>5504495.34</w:t>
      </w:r>
      <w:r>
        <w:rPr>
          <w:rFonts w:hint="eastAsia" w:ascii="宋体" w:hAnsi="宋体" w:cs="宋体"/>
          <w:sz w:val="24"/>
          <w:highlight w:val="none"/>
          <w:shd w:val="clear" w:color="auto" w:fill="auto"/>
        </w:rPr>
        <w:t>元，招标人为天津市管道工程集团有限公司第八分公司。本项目已具备招标条件，现招标方式为集团招</w:t>
      </w:r>
      <w:r>
        <w:rPr>
          <w:rFonts w:hint="eastAsia" w:ascii="宋体" w:hAnsi="宋体" w:cs="宋体"/>
          <w:sz w:val="24"/>
          <w:shd w:val="clear" w:color="auto" w:fill="auto"/>
        </w:rPr>
        <w:t xml:space="preserve">标。 </w:t>
      </w:r>
    </w:p>
    <w:p w14:paraId="76BD3F1F">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b/>
          <w:bCs/>
          <w:sz w:val="24"/>
          <w:highlight w:val="none"/>
          <w:shd w:val="clear" w:color="auto" w:fill="auto"/>
        </w:rPr>
      </w:pPr>
      <w:r>
        <w:rPr>
          <w:rFonts w:hint="eastAsia" w:ascii="宋体" w:hAnsi="宋体" w:cs="宋体"/>
          <w:b/>
          <w:bCs/>
          <w:sz w:val="24"/>
          <w:shd w:val="clear" w:color="auto" w:fill="auto"/>
        </w:rPr>
        <w:t>二、</w:t>
      </w:r>
      <w:r>
        <w:rPr>
          <w:rFonts w:hint="eastAsia" w:ascii="宋体" w:hAnsi="宋体" w:cs="宋体"/>
          <w:b/>
          <w:bCs/>
          <w:sz w:val="24"/>
          <w:highlight w:val="none"/>
          <w:shd w:val="clear" w:color="auto" w:fill="auto"/>
        </w:rPr>
        <w:t xml:space="preserve">项目概况和招标范围 </w:t>
      </w:r>
    </w:p>
    <w:p w14:paraId="787DF601">
      <w:pPr>
        <w:pageBreakBefore w:val="0"/>
        <w:kinsoku/>
        <w:wordWrap/>
        <w:overflowPunct/>
        <w:topLinePunct w:val="0"/>
        <w:bidi w:val="0"/>
        <w:adjustRightInd/>
        <w:snapToGrid/>
        <w:spacing w:afterAutospacing="0" w:line="240" w:lineRule="auto"/>
        <w:ind w:firstLine="480"/>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引滦原水预处理厂工程施工（第2标段）-钢结构屋面采购及安装专业分包</w:t>
      </w:r>
      <w:r>
        <w:rPr>
          <w:rFonts w:hint="eastAsia" w:ascii="宋体" w:hAnsi="宋体" w:cs="宋体"/>
          <w:sz w:val="24"/>
          <w:highlight w:val="none"/>
          <w:shd w:val="clear" w:color="auto" w:fill="auto"/>
          <w:lang w:eastAsia="zh-CN"/>
        </w:rPr>
        <w:t>，内容详见招标工程量清单</w:t>
      </w:r>
      <w:r>
        <w:rPr>
          <w:rFonts w:hint="eastAsia" w:ascii="宋体" w:hAnsi="宋体" w:cs="宋体"/>
          <w:sz w:val="24"/>
          <w:highlight w:val="none"/>
          <w:shd w:val="clear" w:color="auto" w:fill="auto"/>
        </w:rPr>
        <w:t>。</w:t>
      </w:r>
    </w:p>
    <w:p w14:paraId="02B32739">
      <w:pPr>
        <w:pageBreakBefore w:val="0"/>
        <w:kinsoku/>
        <w:wordWrap/>
        <w:overflowPunct/>
        <w:topLinePunct w:val="0"/>
        <w:bidi w:val="0"/>
        <w:adjustRightInd/>
        <w:snapToGrid/>
        <w:spacing w:afterAutospacing="0" w:line="240" w:lineRule="auto"/>
        <w:ind w:firstLine="484" w:firstLineChars="200"/>
        <w:jc w:val="left"/>
        <w:textAlignment w:val="auto"/>
        <w:rPr>
          <w:rFonts w:hint="eastAsia" w:ascii="宋体" w:hAnsi="宋体" w:cs="宋体"/>
          <w:spacing w:val="1"/>
          <w:sz w:val="24"/>
          <w:highlight w:val="none"/>
          <w:shd w:val="clear" w:color="auto" w:fill="auto"/>
        </w:rPr>
      </w:pPr>
      <w:r>
        <w:rPr>
          <w:rFonts w:hint="eastAsia" w:ascii="宋体" w:hAnsi="宋体" w:cs="宋体"/>
          <w:spacing w:val="1"/>
          <w:sz w:val="24"/>
          <w:highlight w:val="none"/>
          <w:shd w:val="clear" w:color="auto" w:fill="auto"/>
        </w:rPr>
        <w:t>招标范围：本招标项目划分为 1 个标段，本次招标内容为</w:t>
      </w:r>
      <w:r>
        <w:rPr>
          <w:rFonts w:hint="eastAsia" w:ascii="宋体" w:hAnsi="宋体" w:cs="宋体"/>
          <w:sz w:val="24"/>
          <w:highlight w:val="none"/>
          <w:shd w:val="clear" w:color="auto" w:fill="auto"/>
        </w:rPr>
        <w:t>钢结构屋面采购及安装。</w:t>
      </w:r>
    </w:p>
    <w:p w14:paraId="32AAA956">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b/>
          <w:bCs/>
          <w:sz w:val="24"/>
          <w:shd w:val="clear" w:color="auto" w:fill="auto"/>
        </w:rPr>
      </w:pPr>
      <w:r>
        <w:rPr>
          <w:rFonts w:hint="eastAsia" w:ascii="宋体" w:hAnsi="宋体" w:cs="宋体"/>
          <w:b/>
          <w:bCs/>
          <w:sz w:val="24"/>
          <w:shd w:val="clear" w:color="auto" w:fill="auto"/>
        </w:rPr>
        <w:t xml:space="preserve">三、投标人资格要求 </w:t>
      </w:r>
    </w:p>
    <w:p w14:paraId="582F2693">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highlight w:val="none"/>
          <w:shd w:val="clear" w:color="auto" w:fill="auto"/>
        </w:rPr>
      </w:pPr>
      <w:r>
        <w:rPr>
          <w:rFonts w:hint="eastAsia" w:ascii="宋体" w:hAnsi="宋体" w:cs="宋体"/>
          <w:sz w:val="24"/>
          <w:shd w:val="clear" w:color="auto" w:fill="auto"/>
        </w:rPr>
        <w:t>天津市管道工程集</w:t>
      </w:r>
      <w:r>
        <w:rPr>
          <w:rFonts w:hint="eastAsia" w:ascii="宋体" w:hAnsi="宋体" w:cs="宋体"/>
          <w:sz w:val="24"/>
          <w:highlight w:val="none"/>
          <w:shd w:val="clear" w:color="auto" w:fill="auto"/>
        </w:rPr>
        <w:t>团有限公司第八分公司引滦原水预处理厂工程施工（第2标段）-钢结构屋面采购及安装专业分包的投标人资格能力要求：</w:t>
      </w:r>
    </w:p>
    <w:p w14:paraId="23E7C98B">
      <w:pPr>
        <w:pStyle w:val="75"/>
        <w:pageBreakBefore w:val="0"/>
        <w:kinsoku/>
        <w:wordWrap/>
        <w:overflowPunct/>
        <w:topLinePunct w:val="0"/>
        <w:bidi w:val="0"/>
        <w:adjustRightInd/>
        <w:snapToGrid/>
        <w:spacing w:afterAutospacing="0" w:line="240" w:lineRule="auto"/>
        <w:textAlignment w:val="auto"/>
        <w:rPr>
          <w:rFonts w:hint="eastAsia" w:ascii="宋体" w:hAnsi="宋体" w:cs="宋体"/>
          <w:color w:val="auto"/>
          <w:kern w:val="2"/>
          <w:highlight w:val="none"/>
          <w:shd w:val="clear" w:color="auto" w:fill="auto"/>
        </w:rPr>
      </w:pPr>
      <w:r>
        <w:rPr>
          <w:rFonts w:hint="eastAsia" w:ascii="宋体" w:hAnsi="宋体" w:cs="宋体"/>
          <w:color w:val="auto"/>
          <w:kern w:val="2"/>
          <w:highlight w:val="none"/>
          <w:shd w:val="clear" w:color="auto" w:fill="auto"/>
        </w:rPr>
        <w:t>提供以下材料：</w:t>
      </w:r>
    </w:p>
    <w:p w14:paraId="0E2BA1CE">
      <w:pPr>
        <w:pStyle w:val="75"/>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color w:val="auto"/>
          <w:kern w:val="2"/>
          <w:highlight w:val="none"/>
          <w:shd w:val="clear" w:color="auto" w:fill="auto"/>
        </w:rPr>
      </w:pPr>
      <w:r>
        <w:rPr>
          <w:rFonts w:hint="eastAsia" w:ascii="宋体" w:hAnsi="宋体" w:cs="宋体"/>
          <w:color w:val="auto"/>
          <w:kern w:val="2"/>
          <w:shd w:val="clear" w:color="auto" w:fill="auto"/>
        </w:rPr>
        <w:t>（一）提供以下材料：</w:t>
      </w:r>
    </w:p>
    <w:p w14:paraId="3AEB1A2D">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1.营业执照副本复印件、</w:t>
      </w:r>
      <w:r>
        <w:rPr>
          <w:rFonts w:hint="eastAsia" w:ascii="宋体" w:hAnsi="宋体" w:cs="宋体"/>
          <w:sz w:val="24"/>
          <w:highlight w:val="none"/>
          <w:shd w:val="clear" w:color="auto" w:fill="auto"/>
          <w:lang w:eastAsia="zh-CN"/>
        </w:rPr>
        <w:t>钢结构工程</w:t>
      </w:r>
      <w:r>
        <w:rPr>
          <w:rFonts w:hint="eastAsia" w:ascii="宋体" w:hAnsi="宋体" w:cs="宋体"/>
          <w:sz w:val="24"/>
          <w:highlight w:val="none"/>
          <w:shd w:val="clear" w:color="auto" w:fill="auto"/>
        </w:rPr>
        <w:t>专业承包二级及以上资质复印件、安全生产许可证复印件并加盖公章。</w:t>
      </w:r>
    </w:p>
    <w:p w14:paraId="68580EFB">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shd w:val="clear" w:color="auto" w:fill="auto"/>
        </w:rPr>
      </w:pPr>
      <w:r>
        <w:rPr>
          <w:rFonts w:hint="eastAsia" w:ascii="宋体" w:hAnsi="宋体" w:cs="宋体"/>
          <w:sz w:val="24"/>
          <w:shd w:val="clear" w:color="auto" w:fill="auto"/>
        </w:rPr>
        <w:t>2.投标截止日前3年在经营活动中没有重大违法记录的书面声明（截止开标日成立不足3年的投标人可提供自成立以来无重大违法记录的书面声明）。</w:t>
      </w:r>
    </w:p>
    <w:p w14:paraId="15439CD6">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shd w:val="clear" w:color="auto" w:fill="auto"/>
        </w:rPr>
      </w:pPr>
      <w:r>
        <w:rPr>
          <w:rFonts w:hint="eastAsia" w:ascii="宋体" w:hAnsi="宋体" w:cs="宋体"/>
          <w:sz w:val="24"/>
          <w:shd w:val="clear" w:color="auto" w:fill="auto"/>
        </w:rPr>
        <w:t>3.投标人须由法定代表人或其授权的委托人参加投标。投标人若为法定代表人投标，须提供法定代表人身份证明原件（如身份证、护照）；投标人若为被授权的委托人投标，须提供法人代表授权书（须由法定代表人签字或盖章）和被授权人身份证原件以及被授权人开标前近一个月的社保证明。</w:t>
      </w:r>
    </w:p>
    <w:p w14:paraId="5DE47590">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shd w:val="clear" w:color="auto" w:fill="auto"/>
        </w:rPr>
      </w:pPr>
      <w:r>
        <w:rPr>
          <w:rFonts w:hint="eastAsia" w:ascii="宋体" w:hAnsi="宋体" w:cs="宋体"/>
          <w:sz w:val="24"/>
          <w:shd w:val="clear" w:color="auto" w:fill="auto"/>
        </w:rPr>
        <w:t>4.报价人应为水务集团合格供应商（“津水云采”平台注册审核通过并购买CA证书且为激活状态的供应商）（合格供应商注册网址：http://www.jinshuiyuncai.com/ ）</w:t>
      </w:r>
    </w:p>
    <w:p w14:paraId="207EFB84">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shd w:val="clear" w:color="auto" w:fill="auto"/>
        </w:rPr>
      </w:pPr>
      <w:r>
        <w:rPr>
          <w:rFonts w:hint="eastAsia" w:ascii="宋体" w:hAnsi="宋体" w:cs="宋体"/>
          <w:sz w:val="24"/>
          <w:shd w:val="clear" w:color="auto" w:fill="auto"/>
        </w:rPr>
        <w:t>5：未被列入“信用中国”网站(www.creditchina.gov.cn)等渠道查询信用记录失信被执行人、重大税收违法案件当事人名单、政府采购严重违法失信行为记录名单相关网站截图。</w:t>
      </w:r>
    </w:p>
    <w:p w14:paraId="4283C780">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b/>
          <w:bCs/>
          <w:sz w:val="24"/>
          <w:highlight w:val="none"/>
          <w:shd w:val="clear" w:color="auto" w:fill="auto"/>
        </w:rPr>
      </w:pPr>
      <w:r>
        <w:rPr>
          <w:rFonts w:hint="eastAsia" w:ascii="宋体" w:hAnsi="宋体" w:cs="宋体"/>
          <w:b/>
          <w:bCs/>
          <w:sz w:val="24"/>
          <w:shd w:val="clear" w:color="auto" w:fill="auto"/>
        </w:rPr>
        <w:t>四、招标文件</w:t>
      </w:r>
      <w:r>
        <w:rPr>
          <w:rFonts w:hint="eastAsia" w:ascii="宋体" w:hAnsi="宋体" w:cs="宋体"/>
          <w:b/>
          <w:bCs/>
          <w:sz w:val="24"/>
          <w:highlight w:val="none"/>
          <w:shd w:val="clear" w:color="auto" w:fill="auto"/>
        </w:rPr>
        <w:t xml:space="preserve">的获取 </w:t>
      </w:r>
    </w:p>
    <w:p w14:paraId="54895D74">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highlight w:val="yellow"/>
          <w:shd w:val="clear" w:color="auto" w:fill="auto"/>
        </w:rPr>
      </w:pPr>
      <w:r>
        <w:rPr>
          <w:rFonts w:hint="eastAsia" w:ascii="宋体" w:hAnsi="宋体" w:cs="宋体"/>
          <w:sz w:val="24"/>
          <w:highlight w:val="none"/>
          <w:shd w:val="clear" w:color="auto" w:fill="auto"/>
        </w:rPr>
        <w:t>获取时间：从202</w:t>
      </w:r>
      <w:r>
        <w:rPr>
          <w:rFonts w:hint="eastAsia" w:ascii="宋体" w:hAnsi="宋体" w:cs="宋体"/>
          <w:sz w:val="24"/>
          <w:highlight w:val="none"/>
          <w:shd w:val="clear" w:color="auto" w:fill="auto"/>
          <w:lang w:val="en-US" w:eastAsia="zh-CN"/>
        </w:rPr>
        <w:t>6</w:t>
      </w:r>
      <w:r>
        <w:rPr>
          <w:rFonts w:hint="eastAsia" w:ascii="宋体" w:hAnsi="宋体" w:cs="宋体"/>
          <w:sz w:val="24"/>
          <w:highlight w:val="none"/>
          <w:shd w:val="clear" w:color="auto" w:fill="auto"/>
        </w:rPr>
        <w:t>年</w:t>
      </w:r>
      <w:r>
        <w:rPr>
          <w:rFonts w:hint="eastAsia" w:ascii="宋体" w:hAnsi="宋体" w:cs="宋体"/>
          <w:sz w:val="24"/>
          <w:highlight w:val="none"/>
          <w:shd w:val="clear" w:color="auto" w:fill="auto"/>
          <w:lang w:val="en-US" w:eastAsia="zh-CN"/>
        </w:rPr>
        <w:t>7</w:t>
      </w:r>
      <w:r>
        <w:rPr>
          <w:rFonts w:hint="eastAsia" w:ascii="宋体" w:hAnsi="宋体" w:cs="宋体"/>
          <w:sz w:val="24"/>
          <w:highlight w:val="none"/>
          <w:shd w:val="clear" w:color="auto" w:fill="auto"/>
        </w:rPr>
        <w:t>月</w:t>
      </w:r>
      <w:r>
        <w:rPr>
          <w:rFonts w:hint="eastAsia" w:ascii="宋体" w:hAnsi="宋体" w:cs="宋体"/>
          <w:sz w:val="24"/>
          <w:highlight w:val="none"/>
          <w:shd w:val="clear" w:color="auto" w:fill="auto"/>
          <w:lang w:val="en-US" w:eastAsia="zh-CN"/>
        </w:rPr>
        <w:t>13</w:t>
      </w:r>
      <w:r>
        <w:rPr>
          <w:rFonts w:hint="eastAsia" w:ascii="宋体" w:hAnsi="宋体" w:cs="宋体"/>
          <w:sz w:val="24"/>
          <w:highlight w:val="none"/>
          <w:shd w:val="clear" w:color="auto" w:fill="auto"/>
        </w:rPr>
        <w:t>日</w:t>
      </w:r>
      <w:r>
        <w:rPr>
          <w:rFonts w:hint="eastAsia" w:ascii="宋体" w:hAnsi="宋体" w:cs="宋体"/>
          <w:sz w:val="24"/>
          <w:highlight w:val="none"/>
          <w:shd w:val="clear" w:color="auto" w:fill="auto"/>
          <w:lang w:val="en-US" w:eastAsia="zh-CN"/>
        </w:rPr>
        <w:t>14</w:t>
      </w:r>
      <w:r>
        <w:rPr>
          <w:rFonts w:hint="eastAsia" w:ascii="宋体" w:hAnsi="宋体" w:cs="宋体"/>
          <w:sz w:val="24"/>
          <w:highlight w:val="none"/>
          <w:shd w:val="clear" w:color="auto" w:fill="auto"/>
        </w:rPr>
        <w:t>时</w:t>
      </w:r>
      <w:r>
        <w:rPr>
          <w:rFonts w:hint="eastAsia" w:ascii="宋体" w:hAnsi="宋体" w:cs="宋体"/>
          <w:sz w:val="24"/>
          <w:highlight w:val="none"/>
          <w:shd w:val="clear" w:color="auto" w:fill="auto"/>
          <w:lang w:val="en-US" w:eastAsia="zh-CN"/>
        </w:rPr>
        <w:t>00</w:t>
      </w:r>
      <w:r>
        <w:rPr>
          <w:rFonts w:hint="eastAsia" w:ascii="宋体" w:hAnsi="宋体" w:cs="宋体"/>
          <w:sz w:val="24"/>
          <w:highlight w:val="none"/>
          <w:shd w:val="clear" w:color="auto" w:fill="auto"/>
        </w:rPr>
        <w:t>分到202</w:t>
      </w:r>
      <w:r>
        <w:rPr>
          <w:rFonts w:hint="eastAsia" w:ascii="宋体" w:hAnsi="宋体" w:cs="宋体"/>
          <w:sz w:val="24"/>
          <w:highlight w:val="none"/>
          <w:shd w:val="clear" w:color="auto" w:fill="auto"/>
          <w:lang w:val="en-US" w:eastAsia="zh-CN"/>
        </w:rPr>
        <w:t>6</w:t>
      </w:r>
      <w:r>
        <w:rPr>
          <w:rFonts w:hint="eastAsia" w:ascii="宋体" w:hAnsi="宋体" w:cs="宋体"/>
          <w:sz w:val="24"/>
          <w:highlight w:val="none"/>
          <w:shd w:val="clear" w:color="auto" w:fill="auto"/>
        </w:rPr>
        <w:t>年</w:t>
      </w:r>
      <w:r>
        <w:rPr>
          <w:rFonts w:hint="eastAsia" w:ascii="宋体" w:hAnsi="宋体" w:cs="宋体"/>
          <w:sz w:val="24"/>
          <w:highlight w:val="none"/>
          <w:shd w:val="clear" w:color="auto" w:fill="auto"/>
          <w:lang w:val="en-US" w:eastAsia="zh-CN"/>
        </w:rPr>
        <w:t>7</w:t>
      </w:r>
      <w:r>
        <w:rPr>
          <w:rFonts w:hint="eastAsia" w:ascii="宋体" w:hAnsi="宋体" w:cs="宋体"/>
          <w:sz w:val="24"/>
          <w:highlight w:val="none"/>
          <w:shd w:val="clear" w:color="auto" w:fill="auto"/>
        </w:rPr>
        <w:t>月</w:t>
      </w:r>
      <w:r>
        <w:rPr>
          <w:rFonts w:hint="eastAsia" w:ascii="宋体" w:hAnsi="宋体" w:cs="宋体"/>
          <w:sz w:val="24"/>
          <w:highlight w:val="none"/>
          <w:shd w:val="clear" w:color="auto" w:fill="auto"/>
          <w:lang w:val="en-US" w:eastAsia="zh-CN"/>
        </w:rPr>
        <w:t>20</w:t>
      </w:r>
      <w:r>
        <w:rPr>
          <w:rFonts w:hint="eastAsia" w:ascii="宋体" w:hAnsi="宋体" w:cs="宋体"/>
          <w:sz w:val="24"/>
          <w:highlight w:val="none"/>
          <w:shd w:val="clear" w:color="auto" w:fill="auto"/>
        </w:rPr>
        <w:t>日</w:t>
      </w:r>
      <w:r>
        <w:rPr>
          <w:rFonts w:hint="eastAsia" w:ascii="宋体" w:hAnsi="宋体" w:cs="宋体"/>
          <w:sz w:val="24"/>
          <w:highlight w:val="none"/>
          <w:shd w:val="clear" w:color="auto" w:fill="auto"/>
          <w:lang w:val="en-US" w:eastAsia="zh-CN"/>
        </w:rPr>
        <w:t>14</w:t>
      </w:r>
      <w:r>
        <w:rPr>
          <w:rFonts w:hint="eastAsia" w:ascii="宋体" w:hAnsi="宋体" w:cs="宋体"/>
          <w:sz w:val="24"/>
          <w:highlight w:val="none"/>
          <w:shd w:val="clear" w:color="auto" w:fill="auto"/>
        </w:rPr>
        <w:t>时00分</w:t>
      </w:r>
    </w:p>
    <w:p w14:paraId="34D310D2">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获取方式：</w:t>
      </w:r>
    </w:p>
    <w:p w14:paraId="20390E6D">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1.津水云彩平台网上获取下载获取。</w:t>
      </w:r>
    </w:p>
    <w:p w14:paraId="47EB1FAC">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b/>
          <w:bCs/>
          <w:sz w:val="24"/>
          <w:highlight w:val="none"/>
          <w:shd w:val="clear" w:color="auto" w:fill="auto"/>
        </w:rPr>
      </w:pPr>
      <w:r>
        <w:rPr>
          <w:rFonts w:hint="eastAsia" w:ascii="宋体" w:hAnsi="宋体" w:cs="宋体"/>
          <w:b/>
          <w:bCs/>
          <w:sz w:val="24"/>
          <w:highlight w:val="none"/>
          <w:shd w:val="clear" w:color="auto" w:fill="auto"/>
        </w:rPr>
        <w:t xml:space="preserve">五、投标文件的递交 </w:t>
      </w:r>
    </w:p>
    <w:p w14:paraId="222AEC8B">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递交截止时间：202</w:t>
      </w:r>
      <w:r>
        <w:rPr>
          <w:rFonts w:hint="eastAsia" w:ascii="宋体" w:hAnsi="宋体" w:cs="宋体"/>
          <w:sz w:val="24"/>
          <w:highlight w:val="none"/>
          <w:shd w:val="clear" w:color="auto" w:fill="auto"/>
          <w:lang w:val="en-US" w:eastAsia="zh-CN"/>
        </w:rPr>
        <w:t>6</w:t>
      </w:r>
      <w:r>
        <w:rPr>
          <w:rFonts w:hint="eastAsia" w:ascii="宋体" w:hAnsi="宋体" w:cs="宋体"/>
          <w:sz w:val="24"/>
          <w:highlight w:val="none"/>
          <w:shd w:val="clear" w:color="auto" w:fill="auto"/>
        </w:rPr>
        <w:t>年</w:t>
      </w:r>
      <w:r>
        <w:rPr>
          <w:rFonts w:hint="eastAsia" w:ascii="宋体" w:hAnsi="宋体" w:cs="宋体"/>
          <w:sz w:val="24"/>
          <w:highlight w:val="none"/>
          <w:shd w:val="clear" w:color="auto" w:fill="auto"/>
          <w:lang w:val="en-US" w:eastAsia="zh-CN"/>
        </w:rPr>
        <w:t>7</w:t>
      </w:r>
      <w:r>
        <w:rPr>
          <w:rFonts w:hint="eastAsia" w:ascii="宋体" w:hAnsi="宋体" w:cs="宋体"/>
          <w:sz w:val="24"/>
          <w:highlight w:val="none"/>
          <w:shd w:val="clear" w:color="auto" w:fill="auto"/>
        </w:rPr>
        <w:t>月</w:t>
      </w:r>
      <w:r>
        <w:rPr>
          <w:rFonts w:hint="eastAsia" w:ascii="宋体" w:hAnsi="宋体" w:cs="宋体"/>
          <w:sz w:val="24"/>
          <w:highlight w:val="none"/>
          <w:shd w:val="clear" w:color="auto" w:fill="auto"/>
          <w:lang w:val="en-US" w:eastAsia="zh-CN"/>
        </w:rPr>
        <w:t>20</w:t>
      </w:r>
      <w:r>
        <w:rPr>
          <w:rFonts w:hint="eastAsia" w:ascii="宋体" w:hAnsi="宋体" w:cs="宋体"/>
          <w:sz w:val="24"/>
          <w:highlight w:val="none"/>
          <w:shd w:val="clear" w:color="auto" w:fill="auto"/>
        </w:rPr>
        <w:t>日</w:t>
      </w:r>
      <w:r>
        <w:rPr>
          <w:rFonts w:hint="eastAsia" w:ascii="宋体" w:hAnsi="宋体" w:cs="宋体"/>
          <w:sz w:val="24"/>
          <w:highlight w:val="none"/>
          <w:shd w:val="clear" w:color="auto" w:fill="auto"/>
          <w:lang w:val="en-US" w:eastAsia="zh-CN"/>
        </w:rPr>
        <w:t>14</w:t>
      </w:r>
      <w:r>
        <w:rPr>
          <w:rFonts w:hint="eastAsia" w:ascii="宋体" w:hAnsi="宋体" w:cs="宋体"/>
          <w:sz w:val="24"/>
          <w:highlight w:val="none"/>
          <w:shd w:val="clear" w:color="auto" w:fill="auto"/>
        </w:rPr>
        <w:t>时00分</w:t>
      </w:r>
    </w:p>
    <w:p w14:paraId="63C148EA">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递交方式：天津市管道工程集团有限公司第八分公司（天津市海源道2号华水大厦三楼招投标室）具体开标时间、地点以招标文件要求为准，纸质文件递交。</w:t>
      </w:r>
    </w:p>
    <w:p w14:paraId="09173099">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b/>
          <w:bCs/>
          <w:sz w:val="24"/>
          <w:highlight w:val="none"/>
          <w:shd w:val="clear" w:color="auto" w:fill="auto"/>
        </w:rPr>
      </w:pPr>
      <w:r>
        <w:rPr>
          <w:rFonts w:hint="eastAsia" w:ascii="宋体" w:hAnsi="宋体" w:cs="宋体"/>
          <w:b/>
          <w:bCs/>
          <w:sz w:val="24"/>
          <w:highlight w:val="none"/>
          <w:shd w:val="clear" w:color="auto" w:fill="auto"/>
        </w:rPr>
        <w:t>六、开标时间及地点</w:t>
      </w:r>
    </w:p>
    <w:p w14:paraId="59B00D29">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开标时间：202</w:t>
      </w:r>
      <w:r>
        <w:rPr>
          <w:rFonts w:hint="eastAsia" w:ascii="宋体" w:hAnsi="宋体" w:cs="宋体"/>
          <w:sz w:val="24"/>
          <w:highlight w:val="none"/>
          <w:shd w:val="clear" w:color="auto" w:fill="auto"/>
          <w:lang w:val="en-US" w:eastAsia="zh-CN"/>
        </w:rPr>
        <w:t>6</w:t>
      </w:r>
      <w:r>
        <w:rPr>
          <w:rFonts w:hint="eastAsia" w:ascii="宋体" w:hAnsi="宋体" w:cs="宋体"/>
          <w:sz w:val="24"/>
          <w:highlight w:val="none"/>
          <w:shd w:val="clear" w:color="auto" w:fill="auto"/>
        </w:rPr>
        <w:t>年</w:t>
      </w:r>
      <w:r>
        <w:rPr>
          <w:rFonts w:hint="eastAsia" w:ascii="宋体" w:hAnsi="宋体" w:cs="宋体"/>
          <w:sz w:val="24"/>
          <w:highlight w:val="none"/>
          <w:shd w:val="clear" w:color="auto" w:fill="auto"/>
          <w:lang w:val="en-US" w:eastAsia="zh-CN"/>
        </w:rPr>
        <w:t>7</w:t>
      </w:r>
      <w:r>
        <w:rPr>
          <w:rFonts w:hint="eastAsia" w:ascii="宋体" w:hAnsi="宋体" w:cs="宋体"/>
          <w:sz w:val="24"/>
          <w:highlight w:val="none"/>
          <w:shd w:val="clear" w:color="auto" w:fill="auto"/>
        </w:rPr>
        <w:t>月</w:t>
      </w:r>
      <w:r>
        <w:rPr>
          <w:rFonts w:hint="eastAsia" w:ascii="宋体" w:hAnsi="宋体" w:cs="宋体"/>
          <w:sz w:val="24"/>
          <w:highlight w:val="none"/>
          <w:shd w:val="clear" w:color="auto" w:fill="auto"/>
          <w:lang w:val="en-US" w:eastAsia="zh-CN"/>
        </w:rPr>
        <w:t>20</w:t>
      </w:r>
      <w:r>
        <w:rPr>
          <w:rFonts w:hint="eastAsia" w:ascii="宋体" w:hAnsi="宋体" w:cs="宋体"/>
          <w:sz w:val="24"/>
          <w:highlight w:val="none"/>
          <w:shd w:val="clear" w:color="auto" w:fill="auto"/>
        </w:rPr>
        <w:t>日</w:t>
      </w:r>
      <w:r>
        <w:rPr>
          <w:rFonts w:hint="eastAsia" w:ascii="宋体" w:hAnsi="宋体" w:cs="宋体"/>
          <w:sz w:val="24"/>
          <w:highlight w:val="none"/>
          <w:shd w:val="clear" w:color="auto" w:fill="auto"/>
          <w:lang w:val="en-US" w:eastAsia="zh-CN"/>
        </w:rPr>
        <w:t>14</w:t>
      </w:r>
      <w:r>
        <w:rPr>
          <w:rFonts w:hint="eastAsia" w:ascii="宋体" w:hAnsi="宋体" w:cs="宋体"/>
          <w:sz w:val="24"/>
          <w:highlight w:val="none"/>
          <w:shd w:val="clear" w:color="auto" w:fill="auto"/>
        </w:rPr>
        <w:t>时00分</w:t>
      </w:r>
    </w:p>
    <w:p w14:paraId="51F5C4D8">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shd w:val="clear" w:color="auto" w:fill="auto"/>
        </w:rPr>
      </w:pPr>
      <w:r>
        <w:rPr>
          <w:rFonts w:hint="eastAsia" w:ascii="宋体" w:hAnsi="宋体" w:cs="宋体"/>
          <w:sz w:val="24"/>
          <w:shd w:val="clear" w:color="auto" w:fill="auto"/>
        </w:rPr>
        <w:t>开标地点：天津市管道工程集团有限公司第八分公司（天津市海源道2号华水大厦三楼招投标室）具体开标时间、地点以招标文件要求为准。</w:t>
      </w:r>
    </w:p>
    <w:p w14:paraId="5C8D8256">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b/>
          <w:bCs/>
          <w:sz w:val="24"/>
          <w:shd w:val="clear" w:color="auto" w:fill="auto"/>
        </w:rPr>
      </w:pPr>
      <w:r>
        <w:rPr>
          <w:rFonts w:hint="eastAsia" w:ascii="宋体" w:hAnsi="宋体" w:cs="宋体"/>
          <w:b/>
          <w:bCs/>
          <w:sz w:val="24"/>
          <w:shd w:val="clear" w:color="auto" w:fill="auto"/>
        </w:rPr>
        <w:t xml:space="preserve">七、其他 </w:t>
      </w:r>
    </w:p>
    <w:p w14:paraId="3BCDFE5A">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shd w:val="clear" w:color="auto" w:fill="auto"/>
        </w:rPr>
      </w:pPr>
      <w:r>
        <w:rPr>
          <w:rFonts w:hint="eastAsia" w:ascii="宋体" w:hAnsi="宋体" w:cs="宋体"/>
          <w:sz w:val="24"/>
          <w:shd w:val="clear" w:color="auto" w:fill="auto"/>
        </w:rPr>
        <w:t>/</w:t>
      </w:r>
    </w:p>
    <w:p w14:paraId="68A385C1">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b/>
          <w:bCs/>
          <w:sz w:val="24"/>
          <w:shd w:val="clear" w:color="auto" w:fill="auto"/>
        </w:rPr>
      </w:pPr>
      <w:r>
        <w:rPr>
          <w:rFonts w:hint="eastAsia" w:ascii="宋体" w:hAnsi="宋体" w:cs="宋体"/>
          <w:b/>
          <w:bCs/>
          <w:sz w:val="24"/>
          <w:shd w:val="clear" w:color="auto" w:fill="auto"/>
        </w:rPr>
        <w:t xml:space="preserve">八、监督部门 </w:t>
      </w:r>
    </w:p>
    <w:p w14:paraId="644F2CC1">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shd w:val="clear" w:color="auto" w:fill="auto"/>
        </w:rPr>
      </w:pPr>
      <w:r>
        <w:rPr>
          <w:rFonts w:hint="eastAsia" w:ascii="宋体" w:hAnsi="宋体" w:cs="宋体"/>
          <w:sz w:val="24"/>
          <w:shd w:val="clear" w:color="auto" w:fill="auto"/>
        </w:rPr>
        <w:t xml:space="preserve">本招标项目的监督部门为：天津市管道工程集团有限公司第八分公司。 </w:t>
      </w:r>
    </w:p>
    <w:p w14:paraId="4C74DAAE">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b/>
          <w:bCs/>
          <w:sz w:val="24"/>
          <w:shd w:val="clear" w:color="auto" w:fill="auto"/>
        </w:rPr>
      </w:pPr>
      <w:r>
        <w:rPr>
          <w:rFonts w:hint="eastAsia" w:ascii="宋体" w:hAnsi="宋体" w:cs="宋体"/>
          <w:b/>
          <w:bCs/>
          <w:sz w:val="24"/>
          <w:shd w:val="clear" w:color="auto" w:fill="auto"/>
        </w:rPr>
        <w:t xml:space="preserve">九、联系方式 </w:t>
      </w:r>
    </w:p>
    <w:p w14:paraId="39F614A3">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shd w:val="clear" w:color="auto" w:fill="auto"/>
        </w:rPr>
      </w:pPr>
      <w:r>
        <w:rPr>
          <w:rFonts w:hint="eastAsia" w:ascii="宋体" w:hAnsi="宋体" w:cs="宋体"/>
          <w:sz w:val="24"/>
          <w:shd w:val="clear" w:color="auto" w:fill="auto"/>
        </w:rPr>
        <w:t>招标人：天津市管道工程集团有限公司第八分公司</w:t>
      </w:r>
    </w:p>
    <w:p w14:paraId="3082795F">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shd w:val="clear" w:color="auto" w:fill="auto"/>
        </w:rPr>
      </w:pPr>
      <w:r>
        <w:rPr>
          <w:rFonts w:hint="eastAsia" w:ascii="宋体" w:hAnsi="宋体" w:cs="宋体"/>
          <w:sz w:val="24"/>
          <w:shd w:val="clear" w:color="auto" w:fill="auto"/>
        </w:rPr>
        <w:t xml:space="preserve">地址：天津市海源道2号华水大厦三楼  </w:t>
      </w:r>
    </w:p>
    <w:p w14:paraId="18770848">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shd w:val="clear" w:color="auto" w:fill="auto"/>
        </w:rPr>
      </w:pPr>
      <w:r>
        <w:rPr>
          <w:rFonts w:hint="eastAsia" w:ascii="宋体" w:hAnsi="宋体" w:cs="宋体"/>
          <w:sz w:val="24"/>
          <w:shd w:val="clear" w:color="auto" w:fill="auto"/>
        </w:rPr>
        <w:t xml:space="preserve">联系人：袁工 </w:t>
      </w:r>
    </w:p>
    <w:p w14:paraId="298572AC">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shd w:val="clear" w:color="auto" w:fill="auto"/>
        </w:rPr>
      </w:pPr>
      <w:r>
        <w:rPr>
          <w:rFonts w:hint="eastAsia" w:ascii="宋体" w:hAnsi="宋体" w:cs="宋体"/>
          <w:sz w:val="24"/>
          <w:shd w:val="clear" w:color="auto" w:fill="auto"/>
        </w:rPr>
        <w:t>电话：022-27263451/ 18522268421</w:t>
      </w:r>
    </w:p>
    <w:p w14:paraId="7F8CF304">
      <w:pPr>
        <w:pageBreakBefore w:val="0"/>
        <w:kinsoku/>
        <w:wordWrap/>
        <w:overflowPunct/>
        <w:topLinePunct w:val="0"/>
        <w:bidi w:val="0"/>
        <w:adjustRightInd/>
        <w:snapToGrid/>
        <w:spacing w:afterAutospacing="0" w:line="240" w:lineRule="auto"/>
        <w:textAlignment w:val="auto"/>
        <w:rPr>
          <w:rFonts w:hint="eastAsia" w:ascii="宋体" w:hAnsi="宋体" w:cs="宋体"/>
          <w:sz w:val="36"/>
          <w:szCs w:val="36"/>
          <w:shd w:val="clear" w:color="auto" w:fill="auto"/>
        </w:rPr>
      </w:pPr>
      <w:r>
        <w:rPr>
          <w:rFonts w:hint="eastAsia" w:ascii="宋体" w:hAnsi="宋体" w:cs="宋体"/>
          <w:sz w:val="36"/>
          <w:szCs w:val="36"/>
          <w:shd w:val="clear" w:color="auto" w:fill="auto"/>
        </w:rPr>
        <w:br w:type="page"/>
      </w:r>
    </w:p>
    <w:p w14:paraId="5D53EC0B">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zCs w:val="40"/>
          <w:shd w:val="clear" w:color="auto" w:fill="auto"/>
        </w:rPr>
      </w:pPr>
      <w:bookmarkStart w:id="0" w:name="_Toc5005"/>
      <w:r>
        <w:rPr>
          <w:rFonts w:hint="eastAsia" w:ascii="宋体" w:hAnsi="宋体" w:cs="宋体"/>
          <w:sz w:val="36"/>
          <w:szCs w:val="36"/>
          <w:shd w:val="clear" w:color="auto" w:fill="auto"/>
        </w:rPr>
        <w:t>第一章  投标须知</w:t>
      </w:r>
      <w:bookmarkEnd w:id="0"/>
    </w:p>
    <w:p w14:paraId="77934B1E">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z w:val="28"/>
          <w:szCs w:val="28"/>
          <w:shd w:val="clear" w:color="auto" w:fill="auto"/>
        </w:rPr>
      </w:pPr>
      <w:bookmarkStart w:id="1" w:name="_Toc25998"/>
      <w:bookmarkStart w:id="2" w:name="_Toc29367"/>
      <w:bookmarkStart w:id="3" w:name="_Toc15293"/>
      <w:bookmarkStart w:id="4" w:name="_Toc7744"/>
      <w:bookmarkStart w:id="5" w:name="_Toc9015"/>
      <w:bookmarkStart w:id="6" w:name="_Toc26010"/>
      <w:bookmarkStart w:id="7" w:name="_Toc26865878"/>
      <w:bookmarkStart w:id="8" w:name="_Toc14167"/>
      <w:bookmarkStart w:id="9" w:name="_Toc400"/>
      <w:bookmarkStart w:id="10" w:name="_Toc20384"/>
      <w:bookmarkStart w:id="11" w:name="_Toc31897"/>
      <w:bookmarkStart w:id="12" w:name="_Toc17415"/>
      <w:bookmarkStart w:id="13" w:name="_Toc395039551"/>
      <w:bookmarkStart w:id="14" w:name="_Toc20767"/>
      <w:bookmarkStart w:id="15" w:name="_Toc3005"/>
      <w:bookmarkStart w:id="16" w:name="_Toc395198150"/>
      <w:bookmarkStart w:id="17" w:name="_Toc13609"/>
      <w:bookmarkStart w:id="18" w:name="_Toc8668"/>
      <w:r>
        <w:rPr>
          <w:rFonts w:hint="eastAsia" w:ascii="宋体" w:hAnsi="宋体" w:cs="宋体"/>
          <w:sz w:val="28"/>
          <w:szCs w:val="28"/>
          <w:shd w:val="clear" w:color="auto" w:fill="auto"/>
        </w:rPr>
        <w:t>前  附  表</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tbl>
      <w:tblPr>
        <w:tblStyle w:val="40"/>
        <w:tblW w:w="103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090"/>
        <w:gridCol w:w="8534"/>
      </w:tblGrid>
      <w:tr w14:paraId="1713B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tblHeader/>
          <w:jc w:val="center"/>
        </w:trPr>
        <w:tc>
          <w:tcPr>
            <w:tcW w:w="769" w:type="dxa"/>
            <w:vAlign w:val="center"/>
          </w:tcPr>
          <w:p w14:paraId="68B5B808">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项号</w:t>
            </w:r>
          </w:p>
        </w:tc>
        <w:tc>
          <w:tcPr>
            <w:tcW w:w="1090" w:type="dxa"/>
            <w:vAlign w:val="center"/>
          </w:tcPr>
          <w:p w14:paraId="1E61E7BF">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条款号</w:t>
            </w:r>
          </w:p>
        </w:tc>
        <w:tc>
          <w:tcPr>
            <w:tcW w:w="8534" w:type="dxa"/>
            <w:vAlign w:val="center"/>
          </w:tcPr>
          <w:p w14:paraId="2D043FE3">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内 容 规 定</w:t>
            </w:r>
          </w:p>
        </w:tc>
      </w:tr>
      <w:tr w14:paraId="3E81E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769" w:type="dxa"/>
            <w:vAlign w:val="center"/>
          </w:tcPr>
          <w:p w14:paraId="6A257370">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w:t>
            </w:r>
          </w:p>
        </w:tc>
        <w:tc>
          <w:tcPr>
            <w:tcW w:w="1090" w:type="dxa"/>
            <w:vAlign w:val="center"/>
          </w:tcPr>
          <w:p w14:paraId="39CA8E64">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1.1</w:t>
            </w:r>
          </w:p>
        </w:tc>
        <w:tc>
          <w:tcPr>
            <w:tcW w:w="8534" w:type="dxa"/>
            <w:vAlign w:val="center"/>
          </w:tcPr>
          <w:p w14:paraId="0215B0BD">
            <w:pPr>
              <w:pageBreakBefore w:val="0"/>
              <w:widowControl/>
              <w:kinsoku/>
              <w:wordWrap/>
              <w:overflowPunct/>
              <w:topLinePunct w:val="0"/>
              <w:bidi w:val="0"/>
              <w:adjustRightInd/>
              <w:snapToGrid/>
              <w:spacing w:afterAutospacing="0" w:line="240" w:lineRule="auto"/>
              <w:jc w:val="left"/>
              <w:textAlignment w:val="auto"/>
              <w:rPr>
                <w:rFonts w:hint="eastAsia" w:ascii="宋体" w:hAnsi="宋体" w:eastAsia="宋体" w:cs="宋体"/>
                <w:sz w:val="24"/>
                <w:szCs w:val="20"/>
                <w:highlight w:val="none"/>
                <w:shd w:val="clear" w:color="auto" w:fill="auto"/>
                <w:lang w:eastAsia="zh-CN"/>
              </w:rPr>
            </w:pPr>
            <w:r>
              <w:rPr>
                <w:rFonts w:hint="eastAsia" w:ascii="宋体" w:hAnsi="宋体" w:eastAsia="宋体" w:cs="宋体"/>
                <w:sz w:val="24"/>
                <w:szCs w:val="20"/>
                <w:highlight w:val="none"/>
                <w:shd w:val="clear" w:color="auto" w:fill="auto"/>
              </w:rPr>
              <w:t>项目名称：引滦原水预处理厂工程施工（第2标段）-钢结构屋面采购及安装专业分包</w:t>
            </w:r>
            <w:r>
              <w:rPr>
                <w:rFonts w:hint="eastAsia" w:ascii="宋体" w:hAnsi="宋体" w:eastAsia="宋体" w:cs="宋体"/>
                <w:sz w:val="24"/>
                <w:szCs w:val="20"/>
                <w:highlight w:val="none"/>
                <w:shd w:val="clear" w:color="auto" w:fill="auto"/>
                <w:lang w:eastAsia="zh-CN"/>
              </w:rPr>
              <w:t>。</w:t>
            </w:r>
          </w:p>
          <w:p w14:paraId="4D0C4A5D">
            <w:pPr>
              <w:pageBreakBefore w:val="0"/>
              <w:widowControl/>
              <w:kinsoku/>
              <w:wordWrap/>
              <w:overflowPunct/>
              <w:topLinePunct w:val="0"/>
              <w:bidi w:val="0"/>
              <w:adjustRightInd/>
              <w:snapToGrid/>
              <w:spacing w:afterAutospacing="0" w:line="240" w:lineRule="auto"/>
              <w:jc w:val="left"/>
              <w:textAlignment w:val="auto"/>
              <w:rPr>
                <w:rFonts w:hint="eastAsia" w:ascii="宋体" w:hAnsi="宋体" w:eastAsia="宋体" w:cs="宋体"/>
                <w:sz w:val="24"/>
                <w:szCs w:val="20"/>
                <w:highlight w:val="none"/>
                <w:shd w:val="clear" w:color="auto" w:fill="auto"/>
              </w:rPr>
            </w:pPr>
            <w:r>
              <w:rPr>
                <w:rFonts w:hint="eastAsia" w:ascii="宋体" w:hAnsi="宋体" w:eastAsia="宋体" w:cs="宋体"/>
                <w:sz w:val="24"/>
                <w:szCs w:val="20"/>
                <w:highlight w:val="none"/>
                <w:shd w:val="clear" w:color="auto" w:fill="auto"/>
              </w:rPr>
              <w:t>招标范围：本招标项目划分为 1 个标段，本次招标内容为钢结构屋面采购及安装。</w:t>
            </w:r>
          </w:p>
          <w:p w14:paraId="2AC57217">
            <w:pPr>
              <w:pageBreakBefore w:val="0"/>
              <w:widowControl/>
              <w:kinsoku/>
              <w:wordWrap/>
              <w:overflowPunct/>
              <w:topLinePunct w:val="0"/>
              <w:bidi w:val="0"/>
              <w:adjustRightInd/>
              <w:snapToGrid/>
              <w:spacing w:afterAutospacing="0" w:line="240" w:lineRule="auto"/>
              <w:jc w:val="left"/>
              <w:textAlignment w:val="auto"/>
              <w:rPr>
                <w:rFonts w:hint="eastAsia" w:ascii="宋体" w:hAnsi="宋体" w:eastAsia="宋体" w:cs="宋体"/>
                <w:sz w:val="24"/>
                <w:szCs w:val="20"/>
                <w:highlight w:val="none"/>
                <w:shd w:val="clear" w:color="auto" w:fill="auto"/>
              </w:rPr>
            </w:pPr>
            <w:r>
              <w:rPr>
                <w:rFonts w:hint="eastAsia" w:ascii="宋体" w:hAnsi="宋体" w:eastAsia="宋体" w:cs="宋体"/>
                <w:sz w:val="24"/>
                <w:szCs w:val="20"/>
                <w:highlight w:val="none"/>
                <w:shd w:val="clear" w:color="auto" w:fill="auto"/>
              </w:rPr>
              <w:t>具体要求详见招标文件及项目需求书。</w:t>
            </w:r>
          </w:p>
          <w:p w14:paraId="73B69513">
            <w:pPr>
              <w:pageBreakBefore w:val="0"/>
              <w:widowControl/>
              <w:kinsoku/>
              <w:wordWrap/>
              <w:overflowPunct/>
              <w:topLinePunct w:val="0"/>
              <w:bidi w:val="0"/>
              <w:adjustRightInd/>
              <w:snapToGrid/>
              <w:spacing w:afterAutospacing="0" w:line="240" w:lineRule="auto"/>
              <w:jc w:val="left"/>
              <w:textAlignment w:val="auto"/>
              <w:rPr>
                <w:rFonts w:hint="eastAsia" w:hAnsi="宋体" w:cs="宋体"/>
                <w:sz w:val="24"/>
                <w:highlight w:val="none"/>
                <w:shd w:val="clear" w:color="auto" w:fill="auto"/>
              </w:rPr>
            </w:pPr>
            <w:r>
              <w:rPr>
                <w:rFonts w:hint="eastAsia" w:ascii="宋体" w:hAnsi="宋体" w:eastAsia="宋体" w:cs="宋体"/>
                <w:sz w:val="24"/>
                <w:szCs w:val="20"/>
                <w:highlight w:val="none"/>
                <w:shd w:val="clear" w:color="auto" w:fill="auto"/>
              </w:rPr>
              <w:t>建设地点：执行采购人约定的具体地点</w:t>
            </w:r>
          </w:p>
        </w:tc>
      </w:tr>
      <w:tr w14:paraId="32BBD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769" w:type="dxa"/>
            <w:vAlign w:val="center"/>
          </w:tcPr>
          <w:p w14:paraId="1887B076">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2</w:t>
            </w:r>
          </w:p>
        </w:tc>
        <w:tc>
          <w:tcPr>
            <w:tcW w:w="1090" w:type="dxa"/>
            <w:vAlign w:val="center"/>
          </w:tcPr>
          <w:p w14:paraId="288960F5">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2.1</w:t>
            </w:r>
          </w:p>
        </w:tc>
        <w:tc>
          <w:tcPr>
            <w:tcW w:w="8534" w:type="dxa"/>
            <w:vAlign w:val="center"/>
          </w:tcPr>
          <w:p w14:paraId="3959526C">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highlight w:val="none"/>
                <w:shd w:val="clear" w:color="auto" w:fill="auto"/>
              </w:rPr>
            </w:pPr>
            <w:r>
              <w:rPr>
                <w:rFonts w:hint="eastAsia" w:ascii="宋体" w:hAnsi="宋体" w:cs="宋体"/>
                <w:sz w:val="24"/>
                <w:szCs w:val="20"/>
                <w:highlight w:val="none"/>
                <w:shd w:val="clear" w:color="auto" w:fill="auto"/>
              </w:rPr>
              <w:t>招标范围：</w:t>
            </w:r>
            <w:r>
              <w:rPr>
                <w:rFonts w:hint="eastAsia" w:ascii="宋体" w:hAnsi="宋体" w:cs="宋体"/>
                <w:sz w:val="24"/>
                <w:highlight w:val="none"/>
                <w:shd w:val="clear" w:color="auto" w:fill="auto"/>
              </w:rPr>
              <w:t>引滦原水预处理厂工程施工（第2标段）-钢结构屋面采购及安装专业分包</w:t>
            </w:r>
          </w:p>
        </w:tc>
      </w:tr>
      <w:tr w14:paraId="5CAFB0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9" w:type="dxa"/>
            <w:vAlign w:val="center"/>
          </w:tcPr>
          <w:p w14:paraId="6AD9AEDB">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3</w:t>
            </w:r>
          </w:p>
        </w:tc>
        <w:tc>
          <w:tcPr>
            <w:tcW w:w="1090" w:type="dxa"/>
            <w:vAlign w:val="center"/>
          </w:tcPr>
          <w:p w14:paraId="3C15FD7F">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3.1</w:t>
            </w:r>
          </w:p>
        </w:tc>
        <w:tc>
          <w:tcPr>
            <w:tcW w:w="8534" w:type="dxa"/>
            <w:vAlign w:val="center"/>
          </w:tcPr>
          <w:p w14:paraId="32AAC761">
            <w:pPr>
              <w:pStyle w:val="20"/>
              <w:pageBreakBefore w:val="0"/>
              <w:kinsoku/>
              <w:wordWrap/>
              <w:overflowPunct/>
              <w:topLinePunct w:val="0"/>
              <w:bidi w:val="0"/>
              <w:adjustRightInd/>
              <w:snapToGrid/>
              <w:spacing w:afterAutospacing="0" w:line="240" w:lineRule="auto"/>
              <w:textAlignment w:val="auto"/>
              <w:rPr>
                <w:rFonts w:hint="eastAsia" w:hAnsi="宋体" w:cs="宋体"/>
                <w:sz w:val="24"/>
                <w:szCs w:val="24"/>
                <w:highlight w:val="none"/>
                <w:shd w:val="clear" w:color="auto" w:fill="auto"/>
              </w:rPr>
            </w:pPr>
            <w:r>
              <w:rPr>
                <w:rFonts w:hint="eastAsia" w:hAnsi="宋体" w:cs="宋体"/>
                <w:sz w:val="24"/>
                <w:szCs w:val="24"/>
                <w:highlight w:val="none"/>
                <w:shd w:val="clear" w:color="auto" w:fill="auto"/>
              </w:rPr>
              <w:t>工期：招标人指定时间；（具体以签订合同为准）</w:t>
            </w:r>
          </w:p>
        </w:tc>
      </w:tr>
      <w:tr w14:paraId="0F48EA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69" w:type="dxa"/>
            <w:vAlign w:val="center"/>
          </w:tcPr>
          <w:p w14:paraId="5B1AA269">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4</w:t>
            </w:r>
          </w:p>
        </w:tc>
        <w:tc>
          <w:tcPr>
            <w:tcW w:w="1090" w:type="dxa"/>
            <w:vAlign w:val="center"/>
          </w:tcPr>
          <w:p w14:paraId="27D578C1">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4.1</w:t>
            </w:r>
          </w:p>
        </w:tc>
        <w:tc>
          <w:tcPr>
            <w:tcW w:w="8534" w:type="dxa"/>
            <w:vAlign w:val="center"/>
          </w:tcPr>
          <w:p w14:paraId="43863916">
            <w:pPr>
              <w:pStyle w:val="20"/>
              <w:pageBreakBefore w:val="0"/>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sz w:val="24"/>
                <w:shd w:val="clear" w:color="auto" w:fill="auto"/>
              </w:rPr>
              <w:t>资金来源：自筹资金预算</w:t>
            </w:r>
            <w:r>
              <w:rPr>
                <w:rFonts w:hint="eastAsia" w:ascii="宋体" w:hAnsi="宋体" w:cs="宋体"/>
                <w:sz w:val="24"/>
                <w:highlight w:val="none"/>
                <w:shd w:val="clear" w:color="auto" w:fill="auto"/>
                <w:lang w:val="en-US" w:eastAsia="zh-CN"/>
              </w:rPr>
              <w:t>5504495.34</w:t>
            </w:r>
            <w:r>
              <w:rPr>
                <w:rFonts w:hint="eastAsia" w:hAnsi="宋体" w:cs="宋体"/>
                <w:sz w:val="24"/>
                <w:shd w:val="clear" w:color="auto" w:fill="auto"/>
              </w:rPr>
              <w:t>元</w:t>
            </w:r>
          </w:p>
        </w:tc>
      </w:tr>
      <w:tr w14:paraId="390F89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69" w:type="dxa"/>
            <w:vAlign w:val="center"/>
          </w:tcPr>
          <w:p w14:paraId="7B69F33E">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p>
        </w:tc>
        <w:tc>
          <w:tcPr>
            <w:tcW w:w="1090" w:type="dxa"/>
            <w:vAlign w:val="center"/>
          </w:tcPr>
          <w:p w14:paraId="2AA58D9B">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4.2</w:t>
            </w:r>
          </w:p>
        </w:tc>
        <w:tc>
          <w:tcPr>
            <w:tcW w:w="8534" w:type="dxa"/>
            <w:vAlign w:val="center"/>
          </w:tcPr>
          <w:p w14:paraId="2C36455B">
            <w:pPr>
              <w:pageBreakBefore w:val="0"/>
              <w:kinsoku/>
              <w:wordWrap/>
              <w:overflowPunct/>
              <w:topLinePunct w:val="0"/>
              <w:bidi w:val="0"/>
              <w:adjustRightInd/>
              <w:snapToGrid/>
              <w:spacing w:afterAutospacing="0" w:line="240" w:lineRule="auto"/>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付款方式：合同生效后预付合同额30%，货到再付合同额</w:t>
            </w:r>
            <w:r>
              <w:rPr>
                <w:rFonts w:hint="eastAsia" w:ascii="宋体" w:hAnsi="宋体" w:cs="宋体"/>
                <w:sz w:val="24"/>
                <w:highlight w:val="none"/>
                <w:shd w:val="clear" w:color="auto" w:fill="auto"/>
                <w:lang w:val="en-US" w:eastAsia="zh-CN"/>
              </w:rPr>
              <w:t>4</w:t>
            </w:r>
            <w:r>
              <w:rPr>
                <w:rFonts w:hint="eastAsia" w:ascii="宋体" w:hAnsi="宋体" w:cs="宋体"/>
                <w:sz w:val="24"/>
                <w:highlight w:val="none"/>
                <w:shd w:val="clear" w:color="auto" w:fill="auto"/>
              </w:rPr>
              <w:t>0%，安装后付</w:t>
            </w:r>
            <w:r>
              <w:rPr>
                <w:rFonts w:hint="eastAsia" w:ascii="宋体" w:hAnsi="宋体" w:cs="宋体"/>
                <w:sz w:val="24"/>
                <w:highlight w:val="none"/>
                <w:shd w:val="clear" w:color="auto" w:fill="auto"/>
                <w:lang w:val="en-US" w:eastAsia="zh-CN"/>
              </w:rPr>
              <w:t>2</w:t>
            </w:r>
            <w:r>
              <w:rPr>
                <w:rFonts w:hint="eastAsia" w:ascii="宋体" w:hAnsi="宋体" w:cs="宋体"/>
                <w:sz w:val="24"/>
                <w:highlight w:val="none"/>
                <w:shd w:val="clear" w:color="auto" w:fill="auto"/>
              </w:rPr>
              <w:t>0%，</w:t>
            </w:r>
            <w:r>
              <w:rPr>
                <w:rFonts w:hint="eastAsia" w:ascii="宋体" w:hAnsi="宋体" w:cs="宋体"/>
                <w:sz w:val="24"/>
                <w:highlight w:val="none"/>
                <w:shd w:val="clear" w:color="auto" w:fill="auto"/>
                <w:lang w:eastAsia="zh-CN"/>
              </w:rPr>
              <w:t>安装</w:t>
            </w:r>
            <w:r>
              <w:rPr>
                <w:rFonts w:hint="eastAsia" w:ascii="宋体" w:hAnsi="宋体" w:cs="宋体"/>
                <w:sz w:val="24"/>
                <w:highlight w:val="none"/>
                <w:shd w:val="clear" w:color="auto" w:fill="auto"/>
              </w:rPr>
              <w:t>验收合格后再付7%，3%余款在质保期满后结清。（以实际签订合同为准）</w:t>
            </w:r>
            <w:r>
              <w:rPr>
                <w:rFonts w:hint="eastAsia"/>
                <w:szCs w:val="21"/>
                <w:highlight w:val="none"/>
                <w:shd w:val="clear" w:color="auto" w:fill="auto"/>
              </w:rPr>
              <w:t>。</w:t>
            </w:r>
          </w:p>
        </w:tc>
      </w:tr>
      <w:tr w14:paraId="15D7D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69" w:type="dxa"/>
            <w:vAlign w:val="center"/>
          </w:tcPr>
          <w:p w14:paraId="242B2915">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5</w:t>
            </w:r>
          </w:p>
        </w:tc>
        <w:tc>
          <w:tcPr>
            <w:tcW w:w="1090" w:type="dxa"/>
            <w:vAlign w:val="center"/>
          </w:tcPr>
          <w:p w14:paraId="26D3D842">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5.1</w:t>
            </w:r>
          </w:p>
        </w:tc>
        <w:tc>
          <w:tcPr>
            <w:tcW w:w="8534" w:type="dxa"/>
            <w:vAlign w:val="center"/>
          </w:tcPr>
          <w:p w14:paraId="281C1659">
            <w:pPr>
              <w:pStyle w:val="75"/>
              <w:pageBreakBefore w:val="0"/>
              <w:kinsoku/>
              <w:wordWrap/>
              <w:overflowPunct/>
              <w:topLinePunct w:val="0"/>
              <w:bidi w:val="0"/>
              <w:adjustRightInd/>
              <w:snapToGrid/>
              <w:spacing w:afterAutospacing="0" w:line="240" w:lineRule="auto"/>
              <w:textAlignment w:val="auto"/>
              <w:rPr>
                <w:rFonts w:hint="eastAsia" w:ascii="宋体" w:hAnsi="宋体" w:cs="宋体"/>
                <w:color w:val="auto"/>
                <w:kern w:val="2"/>
                <w:szCs w:val="20"/>
                <w:highlight w:val="none"/>
                <w:shd w:val="clear" w:color="auto" w:fill="auto"/>
              </w:rPr>
            </w:pPr>
            <w:r>
              <w:rPr>
                <w:rFonts w:hint="eastAsia" w:ascii="宋体" w:hAnsi="宋体" w:cs="宋体"/>
                <w:color w:val="auto"/>
                <w:kern w:val="2"/>
                <w:szCs w:val="20"/>
                <w:highlight w:val="none"/>
                <w:shd w:val="clear" w:color="auto" w:fill="auto"/>
              </w:rPr>
              <w:t>投标人要求：</w:t>
            </w:r>
          </w:p>
          <w:p w14:paraId="58921AEA">
            <w:pPr>
              <w:pStyle w:val="75"/>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color w:val="auto"/>
                <w:kern w:val="2"/>
                <w:highlight w:val="none"/>
                <w:shd w:val="clear" w:color="auto" w:fill="auto"/>
              </w:rPr>
            </w:pPr>
            <w:r>
              <w:rPr>
                <w:rFonts w:hint="eastAsia" w:ascii="宋体" w:hAnsi="宋体" w:cs="宋体"/>
                <w:color w:val="auto"/>
                <w:kern w:val="2"/>
                <w:highlight w:val="none"/>
                <w:shd w:val="clear" w:color="auto" w:fill="auto"/>
              </w:rPr>
              <w:t>（一）提供以下材料：</w:t>
            </w:r>
          </w:p>
          <w:p w14:paraId="781F60E4">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5.1：营业执照副本复印件、</w:t>
            </w:r>
            <w:r>
              <w:rPr>
                <w:rFonts w:hint="eastAsia" w:ascii="宋体" w:hAnsi="宋体" w:eastAsia="宋体" w:cs="宋体"/>
                <w:sz w:val="24"/>
                <w:highlight w:val="none"/>
                <w:shd w:val="clear" w:color="auto" w:fill="auto"/>
                <w:lang w:eastAsia="zh-CN"/>
              </w:rPr>
              <w:t>钢结构</w:t>
            </w:r>
            <w:r>
              <w:rPr>
                <w:rFonts w:hint="eastAsia" w:ascii="宋体" w:hAnsi="宋体" w:eastAsia="宋体" w:cs="宋体"/>
                <w:sz w:val="24"/>
                <w:highlight w:val="none"/>
                <w:shd w:val="clear" w:color="auto" w:fill="auto"/>
              </w:rPr>
              <w:t>工程专业承包二级及以上资质复印件、</w:t>
            </w:r>
            <w:r>
              <w:rPr>
                <w:rFonts w:hint="eastAsia" w:ascii="宋体" w:hAnsi="宋体" w:cs="宋体"/>
                <w:sz w:val="24"/>
                <w:highlight w:val="none"/>
                <w:shd w:val="clear" w:color="auto" w:fill="auto"/>
              </w:rPr>
              <w:t>安全生产许可证复印件并加盖公章，且均在有效期内。</w:t>
            </w:r>
          </w:p>
          <w:p w14:paraId="66D4FB85">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5.2：投标截止日前3年在经营活动中没有重大违法记录的书面声明（截止开标日成立不足3年的投标人可提供自成立以来无重大违法记录的书面声明）。</w:t>
            </w:r>
          </w:p>
          <w:p w14:paraId="13C1FE5A">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5.3：投标人须由法定代表人或其授权的委托人参加投标。投标人若为法定代表人投标，须提供法定代表人身份证明原件（如身份证、护照）；投标人若为被授权的委托人投标，须提供法人代表授权书（须由法定代表人签字或盖章）和被授权人身份证原件以及被授权人开标前近一个月的社保证明。</w:t>
            </w:r>
          </w:p>
          <w:p w14:paraId="14477ECA">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ascii="宋体" w:hAnsi="宋体" w:cs="宋体"/>
                <w:sz w:val="24"/>
                <w:highlight w:val="none"/>
                <w:shd w:val="clear" w:color="auto" w:fill="auto"/>
              </w:rPr>
            </w:pPr>
            <w:r>
              <w:rPr>
                <w:rFonts w:hint="eastAsia" w:ascii="宋体" w:hAnsi="宋体" w:cs="宋体"/>
                <w:sz w:val="24"/>
                <w:highlight w:val="none"/>
                <w:shd w:val="clear" w:color="auto" w:fill="auto"/>
              </w:rPr>
              <w:t>5.4：未被列入“信用中国”网站(www.creditchina.gov.cn)等渠道查询信用记录失信被执行人、重大税收违法案件当事人名单、政府采购严重违法失信行为记录名单相关网站截图。</w:t>
            </w:r>
          </w:p>
        </w:tc>
      </w:tr>
      <w:tr w14:paraId="2224B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9" w:type="dxa"/>
            <w:vAlign w:val="center"/>
          </w:tcPr>
          <w:p w14:paraId="14A462DA">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6</w:t>
            </w:r>
          </w:p>
        </w:tc>
        <w:tc>
          <w:tcPr>
            <w:tcW w:w="1090" w:type="dxa"/>
            <w:vAlign w:val="center"/>
          </w:tcPr>
          <w:p w14:paraId="0170F1C8">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6.1</w:t>
            </w:r>
          </w:p>
        </w:tc>
        <w:tc>
          <w:tcPr>
            <w:tcW w:w="8534" w:type="dxa"/>
            <w:vAlign w:val="center"/>
          </w:tcPr>
          <w:p w14:paraId="64F83C0D">
            <w:pPr>
              <w:pStyle w:val="20"/>
              <w:pageBreakBefore w:val="0"/>
              <w:tabs>
                <w:tab w:val="left" w:pos="6552"/>
              </w:tabs>
              <w:kinsoku/>
              <w:wordWrap/>
              <w:overflowPunct/>
              <w:topLinePunct w:val="0"/>
              <w:bidi w:val="0"/>
              <w:adjustRightInd/>
              <w:snapToGrid/>
              <w:spacing w:afterAutospacing="0" w:line="240" w:lineRule="auto"/>
              <w:textAlignment w:val="auto"/>
              <w:rPr>
                <w:rFonts w:hint="eastAsia" w:hAnsi="宋体" w:cs="宋体"/>
                <w:sz w:val="24"/>
                <w:szCs w:val="24"/>
                <w:shd w:val="clear" w:color="auto" w:fill="auto"/>
              </w:rPr>
            </w:pPr>
            <w:r>
              <w:rPr>
                <w:rFonts w:hint="eastAsia" w:hAnsi="宋体" w:cs="宋体"/>
                <w:sz w:val="24"/>
                <w:szCs w:val="24"/>
                <w:shd w:val="clear" w:color="auto" w:fill="auto"/>
              </w:rPr>
              <w:t>现场踏勘：不组织</w:t>
            </w:r>
          </w:p>
        </w:tc>
      </w:tr>
      <w:tr w14:paraId="1869F1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69" w:type="dxa"/>
            <w:vAlign w:val="center"/>
          </w:tcPr>
          <w:p w14:paraId="75FFAFC4">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7</w:t>
            </w:r>
          </w:p>
        </w:tc>
        <w:tc>
          <w:tcPr>
            <w:tcW w:w="1090" w:type="dxa"/>
            <w:vAlign w:val="center"/>
          </w:tcPr>
          <w:p w14:paraId="6D06ED62">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7.1</w:t>
            </w:r>
          </w:p>
        </w:tc>
        <w:tc>
          <w:tcPr>
            <w:tcW w:w="8534" w:type="dxa"/>
            <w:vAlign w:val="center"/>
          </w:tcPr>
          <w:p w14:paraId="3DCDBA1E">
            <w:pPr>
              <w:pStyle w:val="20"/>
              <w:pageBreakBefore w:val="0"/>
              <w:tabs>
                <w:tab w:val="left" w:pos="6552"/>
              </w:tabs>
              <w:kinsoku/>
              <w:wordWrap/>
              <w:overflowPunct/>
              <w:topLinePunct w:val="0"/>
              <w:bidi w:val="0"/>
              <w:adjustRightInd/>
              <w:snapToGrid/>
              <w:spacing w:afterAutospacing="0" w:line="240" w:lineRule="auto"/>
              <w:textAlignment w:val="auto"/>
              <w:rPr>
                <w:rFonts w:hint="eastAsia" w:hAnsi="宋体" w:cs="宋体"/>
                <w:sz w:val="24"/>
                <w:szCs w:val="24"/>
                <w:shd w:val="clear" w:color="auto" w:fill="auto"/>
              </w:rPr>
            </w:pPr>
            <w:r>
              <w:rPr>
                <w:rFonts w:hint="eastAsia" w:hAnsi="宋体" w:cs="宋体"/>
                <w:sz w:val="24"/>
                <w:szCs w:val="24"/>
                <w:shd w:val="clear" w:color="auto" w:fill="auto"/>
              </w:rPr>
              <w:t>投标预备会：不组织</w:t>
            </w:r>
          </w:p>
        </w:tc>
      </w:tr>
      <w:tr w14:paraId="53719A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69" w:type="dxa"/>
            <w:vAlign w:val="center"/>
          </w:tcPr>
          <w:p w14:paraId="337319EB">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8</w:t>
            </w:r>
          </w:p>
        </w:tc>
        <w:tc>
          <w:tcPr>
            <w:tcW w:w="1090" w:type="dxa"/>
            <w:vAlign w:val="center"/>
          </w:tcPr>
          <w:p w14:paraId="61B619C5">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8.1</w:t>
            </w:r>
          </w:p>
        </w:tc>
        <w:tc>
          <w:tcPr>
            <w:tcW w:w="8534" w:type="dxa"/>
            <w:vAlign w:val="center"/>
          </w:tcPr>
          <w:p w14:paraId="22078CC2">
            <w:pPr>
              <w:pStyle w:val="20"/>
              <w:pageBreakBefore w:val="0"/>
              <w:kinsoku/>
              <w:wordWrap/>
              <w:overflowPunct/>
              <w:topLinePunct w:val="0"/>
              <w:bidi w:val="0"/>
              <w:adjustRightInd/>
              <w:snapToGrid/>
              <w:spacing w:afterAutospacing="0" w:line="240" w:lineRule="auto"/>
              <w:textAlignment w:val="auto"/>
              <w:rPr>
                <w:rFonts w:hint="eastAsia" w:hAnsi="宋体" w:cs="宋体"/>
                <w:sz w:val="24"/>
                <w:szCs w:val="24"/>
                <w:highlight w:val="none"/>
                <w:shd w:val="clear" w:color="auto" w:fill="auto"/>
              </w:rPr>
            </w:pPr>
            <w:r>
              <w:rPr>
                <w:rFonts w:hint="eastAsia" w:hAnsi="宋体" w:cs="宋体"/>
                <w:sz w:val="24"/>
                <w:szCs w:val="24"/>
                <w:highlight w:val="none"/>
                <w:shd w:val="clear" w:color="auto" w:fill="auto"/>
              </w:rPr>
              <w:t>领取招标文件：</w:t>
            </w:r>
          </w:p>
          <w:p w14:paraId="16AFC16D">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highlight w:val="none"/>
                <w:shd w:val="clear" w:color="auto" w:fill="auto"/>
              </w:rPr>
            </w:pPr>
            <w:r>
              <w:rPr>
                <w:rFonts w:hint="eastAsia" w:hAnsi="宋体" w:cs="宋体"/>
                <w:sz w:val="24"/>
                <w:highlight w:val="none"/>
                <w:shd w:val="clear" w:color="auto" w:fill="auto"/>
              </w:rPr>
              <w:t>时间：</w:t>
            </w:r>
            <w:r>
              <w:rPr>
                <w:rFonts w:hint="eastAsia" w:ascii="宋体" w:hAnsi="宋体" w:cs="宋体"/>
                <w:sz w:val="24"/>
                <w:highlight w:val="none"/>
                <w:shd w:val="clear" w:color="auto" w:fill="auto"/>
              </w:rPr>
              <w:t>202</w:t>
            </w:r>
            <w:r>
              <w:rPr>
                <w:rFonts w:hint="eastAsia" w:ascii="宋体" w:hAnsi="宋体" w:cs="宋体"/>
                <w:sz w:val="24"/>
                <w:highlight w:val="none"/>
                <w:shd w:val="clear" w:color="auto" w:fill="auto"/>
                <w:lang w:val="en-US" w:eastAsia="zh-CN"/>
              </w:rPr>
              <w:t>6</w:t>
            </w:r>
            <w:r>
              <w:rPr>
                <w:rFonts w:hint="eastAsia" w:ascii="宋体" w:hAnsi="宋体" w:cs="宋体"/>
                <w:sz w:val="24"/>
                <w:highlight w:val="none"/>
                <w:shd w:val="clear" w:color="auto" w:fill="auto"/>
              </w:rPr>
              <w:t>年</w:t>
            </w:r>
            <w:r>
              <w:rPr>
                <w:rFonts w:hint="eastAsia" w:ascii="宋体" w:hAnsi="宋体" w:cs="宋体"/>
                <w:sz w:val="24"/>
                <w:highlight w:val="none"/>
                <w:shd w:val="clear" w:color="auto" w:fill="auto"/>
                <w:lang w:val="en-US" w:eastAsia="zh-CN"/>
              </w:rPr>
              <w:t>7</w:t>
            </w:r>
            <w:r>
              <w:rPr>
                <w:rFonts w:hint="eastAsia" w:ascii="宋体" w:hAnsi="宋体" w:cs="宋体"/>
                <w:sz w:val="24"/>
                <w:highlight w:val="none"/>
                <w:shd w:val="clear" w:color="auto" w:fill="auto"/>
              </w:rPr>
              <w:t>月</w:t>
            </w:r>
            <w:r>
              <w:rPr>
                <w:rFonts w:hint="eastAsia" w:ascii="宋体" w:hAnsi="宋体" w:cs="宋体"/>
                <w:sz w:val="24"/>
                <w:highlight w:val="none"/>
                <w:shd w:val="clear" w:color="auto" w:fill="auto"/>
                <w:lang w:val="en-US" w:eastAsia="zh-CN"/>
              </w:rPr>
              <w:t>13</w:t>
            </w:r>
            <w:r>
              <w:rPr>
                <w:rFonts w:hint="eastAsia" w:ascii="宋体" w:hAnsi="宋体" w:cs="宋体"/>
                <w:sz w:val="24"/>
                <w:highlight w:val="none"/>
                <w:shd w:val="clear" w:color="auto" w:fill="auto"/>
              </w:rPr>
              <w:t>日</w:t>
            </w:r>
            <w:r>
              <w:rPr>
                <w:rFonts w:hint="eastAsia" w:ascii="宋体" w:hAnsi="宋体" w:cs="宋体"/>
                <w:sz w:val="24"/>
                <w:highlight w:val="none"/>
                <w:shd w:val="clear" w:color="auto" w:fill="auto"/>
                <w:lang w:val="en-US" w:eastAsia="zh-CN"/>
              </w:rPr>
              <w:t>14</w:t>
            </w:r>
            <w:r>
              <w:rPr>
                <w:rFonts w:hint="eastAsia" w:ascii="宋体" w:hAnsi="宋体" w:cs="宋体"/>
                <w:sz w:val="24"/>
                <w:highlight w:val="none"/>
                <w:shd w:val="clear" w:color="auto" w:fill="auto"/>
              </w:rPr>
              <w:t>时</w:t>
            </w:r>
            <w:r>
              <w:rPr>
                <w:rFonts w:hint="eastAsia" w:ascii="宋体" w:hAnsi="宋体" w:cs="宋体"/>
                <w:sz w:val="24"/>
                <w:highlight w:val="none"/>
                <w:shd w:val="clear" w:color="auto" w:fill="auto"/>
                <w:lang w:val="en-US" w:eastAsia="zh-CN"/>
              </w:rPr>
              <w:t>00</w:t>
            </w:r>
            <w:r>
              <w:rPr>
                <w:rFonts w:hint="eastAsia" w:ascii="宋体" w:hAnsi="宋体" w:cs="宋体"/>
                <w:sz w:val="24"/>
                <w:highlight w:val="none"/>
                <w:shd w:val="clear" w:color="auto" w:fill="auto"/>
              </w:rPr>
              <w:t>分到202</w:t>
            </w:r>
            <w:r>
              <w:rPr>
                <w:rFonts w:hint="eastAsia" w:ascii="宋体" w:hAnsi="宋体" w:cs="宋体"/>
                <w:sz w:val="24"/>
                <w:highlight w:val="none"/>
                <w:shd w:val="clear" w:color="auto" w:fill="auto"/>
                <w:lang w:val="en-US" w:eastAsia="zh-CN"/>
              </w:rPr>
              <w:t>6</w:t>
            </w:r>
            <w:r>
              <w:rPr>
                <w:rFonts w:hint="eastAsia" w:ascii="宋体" w:hAnsi="宋体" w:cs="宋体"/>
                <w:sz w:val="24"/>
                <w:highlight w:val="none"/>
                <w:shd w:val="clear" w:color="auto" w:fill="auto"/>
              </w:rPr>
              <w:t>年</w:t>
            </w:r>
            <w:r>
              <w:rPr>
                <w:rFonts w:hint="eastAsia" w:ascii="宋体" w:hAnsi="宋体" w:cs="宋体"/>
                <w:sz w:val="24"/>
                <w:highlight w:val="none"/>
                <w:shd w:val="clear" w:color="auto" w:fill="auto"/>
                <w:lang w:val="en-US" w:eastAsia="zh-CN"/>
              </w:rPr>
              <w:t>7</w:t>
            </w:r>
            <w:r>
              <w:rPr>
                <w:rFonts w:hint="eastAsia" w:ascii="宋体" w:hAnsi="宋体" w:cs="宋体"/>
                <w:sz w:val="24"/>
                <w:highlight w:val="none"/>
                <w:shd w:val="clear" w:color="auto" w:fill="auto"/>
              </w:rPr>
              <w:t>月</w:t>
            </w:r>
            <w:r>
              <w:rPr>
                <w:rFonts w:hint="eastAsia" w:ascii="宋体" w:hAnsi="宋体" w:cs="宋体"/>
                <w:sz w:val="24"/>
                <w:highlight w:val="none"/>
                <w:shd w:val="clear" w:color="auto" w:fill="auto"/>
                <w:lang w:val="en-US" w:eastAsia="zh-CN"/>
              </w:rPr>
              <w:t>20</w:t>
            </w:r>
            <w:r>
              <w:rPr>
                <w:rFonts w:hint="eastAsia" w:ascii="宋体" w:hAnsi="宋体" w:cs="宋体"/>
                <w:sz w:val="24"/>
                <w:highlight w:val="none"/>
                <w:shd w:val="clear" w:color="auto" w:fill="auto"/>
              </w:rPr>
              <w:t>日</w:t>
            </w:r>
            <w:r>
              <w:rPr>
                <w:rFonts w:hint="eastAsia" w:ascii="宋体" w:hAnsi="宋体" w:cs="宋体"/>
                <w:sz w:val="24"/>
                <w:highlight w:val="none"/>
                <w:shd w:val="clear" w:color="auto" w:fill="auto"/>
                <w:lang w:val="en-US" w:eastAsia="zh-CN"/>
              </w:rPr>
              <w:t>14</w:t>
            </w:r>
            <w:r>
              <w:rPr>
                <w:rFonts w:hint="eastAsia" w:ascii="宋体" w:hAnsi="宋体" w:cs="宋体"/>
                <w:sz w:val="24"/>
                <w:highlight w:val="none"/>
                <w:shd w:val="clear" w:color="auto" w:fill="auto"/>
              </w:rPr>
              <w:t>时00分</w:t>
            </w:r>
          </w:p>
          <w:p w14:paraId="6F9C28FE">
            <w:pPr>
              <w:pageBreakBefore w:val="0"/>
              <w:widowControl/>
              <w:kinsoku/>
              <w:wordWrap/>
              <w:overflowPunct/>
              <w:topLinePunct w:val="0"/>
              <w:bidi w:val="0"/>
              <w:adjustRightInd/>
              <w:snapToGrid/>
              <w:spacing w:afterAutospacing="0" w:line="240" w:lineRule="auto"/>
              <w:jc w:val="left"/>
              <w:textAlignment w:val="auto"/>
              <w:rPr>
                <w:rFonts w:hint="eastAsia" w:hAnsi="宋体" w:cs="宋体"/>
                <w:sz w:val="24"/>
                <w:highlight w:val="none"/>
                <w:shd w:val="clear" w:color="auto" w:fill="auto"/>
              </w:rPr>
            </w:pPr>
            <w:r>
              <w:rPr>
                <w:rFonts w:hint="eastAsia" w:ascii="宋体" w:hAnsi="宋体" w:cs="宋体"/>
                <w:sz w:val="24"/>
                <w:highlight w:val="none"/>
                <w:shd w:val="clear" w:color="auto" w:fill="auto"/>
              </w:rPr>
              <w:t>（工作日）津水云彩平台下载</w:t>
            </w:r>
          </w:p>
          <w:p w14:paraId="54DD9388">
            <w:pPr>
              <w:pageBreakBefore w:val="0"/>
              <w:widowControl/>
              <w:kinsoku/>
              <w:wordWrap/>
              <w:overflowPunct/>
              <w:topLinePunct w:val="0"/>
              <w:bidi w:val="0"/>
              <w:adjustRightInd/>
              <w:snapToGrid/>
              <w:spacing w:afterAutospacing="0" w:line="240" w:lineRule="auto"/>
              <w:ind w:firstLine="480" w:firstLineChars="200"/>
              <w:jc w:val="left"/>
              <w:textAlignment w:val="auto"/>
              <w:rPr>
                <w:rFonts w:hint="eastAsia" w:hAnsi="宋体" w:cs="宋体"/>
                <w:sz w:val="24"/>
                <w:highlight w:val="none"/>
                <w:shd w:val="clear" w:color="auto" w:fill="auto"/>
              </w:rPr>
            </w:pPr>
            <w:r>
              <w:rPr>
                <w:rFonts w:hint="eastAsia" w:hAnsi="宋体" w:cs="宋体"/>
                <w:sz w:val="24"/>
                <w:highlight w:val="none"/>
                <w:shd w:val="clear" w:color="auto" w:fill="auto"/>
              </w:rPr>
              <w:t>联系人：袁工   电话：</w:t>
            </w:r>
            <w:r>
              <w:rPr>
                <w:rFonts w:hint="eastAsia" w:ascii="宋体" w:hAnsi="宋体" w:cs="宋体"/>
                <w:sz w:val="24"/>
                <w:highlight w:val="none"/>
                <w:shd w:val="clear" w:color="auto" w:fill="auto"/>
              </w:rPr>
              <w:t>022-27263451/ 18522268421</w:t>
            </w:r>
          </w:p>
        </w:tc>
      </w:tr>
      <w:tr w14:paraId="23AB4D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69" w:type="dxa"/>
            <w:vAlign w:val="center"/>
          </w:tcPr>
          <w:p w14:paraId="4844E9C0">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9</w:t>
            </w:r>
          </w:p>
        </w:tc>
        <w:tc>
          <w:tcPr>
            <w:tcW w:w="1090" w:type="dxa"/>
            <w:vAlign w:val="center"/>
          </w:tcPr>
          <w:p w14:paraId="16C8427E">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9.1</w:t>
            </w:r>
          </w:p>
        </w:tc>
        <w:tc>
          <w:tcPr>
            <w:tcW w:w="8534" w:type="dxa"/>
            <w:vAlign w:val="center"/>
          </w:tcPr>
          <w:p w14:paraId="1BABAA27">
            <w:pPr>
              <w:pageBreakBefore w:val="0"/>
              <w:kinsoku/>
              <w:wordWrap/>
              <w:overflowPunct/>
              <w:topLinePunct w:val="0"/>
              <w:bidi w:val="0"/>
              <w:adjustRightInd/>
              <w:snapToGrid/>
              <w:spacing w:afterAutospacing="0" w:line="240" w:lineRule="auto"/>
              <w:textAlignment w:val="auto"/>
              <w:rPr>
                <w:rFonts w:hint="eastAsia" w:ascii="宋体" w:hAnsi="宋体" w:cs="宋体"/>
                <w:sz w:val="24"/>
                <w:shd w:val="clear" w:color="auto" w:fill="auto"/>
              </w:rPr>
            </w:pPr>
            <w:r>
              <w:rPr>
                <w:rFonts w:hint="eastAsia" w:ascii="宋体" w:hAnsi="宋体" w:cs="宋体"/>
                <w:sz w:val="24"/>
                <w:shd w:val="clear" w:color="auto" w:fill="auto"/>
              </w:rPr>
              <w:t>质量要求：合格</w:t>
            </w:r>
          </w:p>
        </w:tc>
      </w:tr>
      <w:tr w14:paraId="3897E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69" w:type="dxa"/>
            <w:vAlign w:val="center"/>
          </w:tcPr>
          <w:p w14:paraId="7DC8C4DE">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10</w:t>
            </w:r>
          </w:p>
        </w:tc>
        <w:tc>
          <w:tcPr>
            <w:tcW w:w="1090" w:type="dxa"/>
            <w:vAlign w:val="center"/>
          </w:tcPr>
          <w:p w14:paraId="1A3580A5">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10.1</w:t>
            </w:r>
          </w:p>
        </w:tc>
        <w:tc>
          <w:tcPr>
            <w:tcW w:w="8534" w:type="dxa"/>
            <w:vAlign w:val="center"/>
          </w:tcPr>
          <w:p w14:paraId="1195077F">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highlight w:val="none"/>
                <w:shd w:val="clear" w:color="auto" w:fill="auto"/>
              </w:rPr>
            </w:pPr>
            <w:r>
              <w:rPr>
                <w:rFonts w:hint="eastAsia" w:hAnsi="宋体" w:cs="宋体"/>
                <w:sz w:val="24"/>
                <w:highlight w:val="none"/>
                <w:shd w:val="clear" w:color="auto" w:fill="auto"/>
              </w:rPr>
              <w:t>投标有效期：</w:t>
            </w:r>
            <w:r>
              <w:rPr>
                <w:rFonts w:hint="eastAsia" w:ascii="宋体" w:hAnsi="宋体" w:cs="宋体"/>
                <w:sz w:val="24"/>
                <w:highlight w:val="none"/>
                <w:shd w:val="clear" w:color="auto" w:fill="auto"/>
              </w:rPr>
              <w:t>202</w:t>
            </w:r>
            <w:r>
              <w:rPr>
                <w:rFonts w:hint="eastAsia" w:ascii="宋体" w:hAnsi="宋体" w:cs="宋体"/>
                <w:sz w:val="24"/>
                <w:highlight w:val="none"/>
                <w:shd w:val="clear" w:color="auto" w:fill="auto"/>
                <w:lang w:val="en-US" w:eastAsia="zh-CN"/>
              </w:rPr>
              <w:t>6</w:t>
            </w:r>
            <w:r>
              <w:rPr>
                <w:rFonts w:hint="eastAsia" w:ascii="宋体" w:hAnsi="宋体" w:cs="宋体"/>
                <w:sz w:val="24"/>
                <w:highlight w:val="none"/>
                <w:shd w:val="clear" w:color="auto" w:fill="auto"/>
              </w:rPr>
              <w:t>年</w:t>
            </w:r>
            <w:r>
              <w:rPr>
                <w:rFonts w:hint="eastAsia" w:ascii="宋体" w:hAnsi="宋体" w:cs="宋体"/>
                <w:sz w:val="24"/>
                <w:highlight w:val="none"/>
                <w:shd w:val="clear" w:color="auto" w:fill="auto"/>
                <w:lang w:val="en-US" w:eastAsia="zh-CN"/>
              </w:rPr>
              <w:t>7</w:t>
            </w:r>
            <w:r>
              <w:rPr>
                <w:rFonts w:hint="eastAsia" w:ascii="宋体" w:hAnsi="宋体" w:cs="宋体"/>
                <w:sz w:val="24"/>
                <w:highlight w:val="none"/>
                <w:shd w:val="clear" w:color="auto" w:fill="auto"/>
              </w:rPr>
              <w:t>月</w:t>
            </w:r>
            <w:r>
              <w:rPr>
                <w:rFonts w:hint="eastAsia" w:ascii="宋体" w:hAnsi="宋体" w:cs="宋体"/>
                <w:sz w:val="24"/>
                <w:highlight w:val="none"/>
                <w:shd w:val="clear" w:color="auto" w:fill="auto"/>
                <w:lang w:val="en-US" w:eastAsia="zh-CN"/>
              </w:rPr>
              <w:t>13</w:t>
            </w:r>
            <w:r>
              <w:rPr>
                <w:rFonts w:hint="eastAsia" w:ascii="宋体" w:hAnsi="宋体" w:cs="宋体"/>
                <w:sz w:val="24"/>
                <w:highlight w:val="none"/>
                <w:shd w:val="clear" w:color="auto" w:fill="auto"/>
              </w:rPr>
              <w:t>日</w:t>
            </w:r>
            <w:r>
              <w:rPr>
                <w:rFonts w:hint="eastAsia" w:ascii="宋体" w:hAnsi="宋体" w:cs="宋体"/>
                <w:sz w:val="24"/>
                <w:highlight w:val="none"/>
                <w:shd w:val="clear" w:color="auto" w:fill="auto"/>
                <w:lang w:val="en-US" w:eastAsia="zh-CN"/>
              </w:rPr>
              <w:t>14</w:t>
            </w:r>
            <w:r>
              <w:rPr>
                <w:rFonts w:hint="eastAsia" w:ascii="宋体" w:hAnsi="宋体" w:cs="宋体"/>
                <w:sz w:val="24"/>
                <w:highlight w:val="none"/>
                <w:shd w:val="clear" w:color="auto" w:fill="auto"/>
              </w:rPr>
              <w:t>时</w:t>
            </w:r>
            <w:r>
              <w:rPr>
                <w:rFonts w:hint="eastAsia" w:ascii="宋体" w:hAnsi="宋体" w:cs="宋体"/>
                <w:sz w:val="24"/>
                <w:highlight w:val="none"/>
                <w:shd w:val="clear" w:color="auto" w:fill="auto"/>
                <w:lang w:val="en-US" w:eastAsia="zh-CN"/>
              </w:rPr>
              <w:t>00</w:t>
            </w:r>
            <w:r>
              <w:rPr>
                <w:rFonts w:hint="eastAsia" w:ascii="宋体" w:hAnsi="宋体" w:cs="宋体"/>
                <w:sz w:val="24"/>
                <w:highlight w:val="none"/>
                <w:shd w:val="clear" w:color="auto" w:fill="auto"/>
              </w:rPr>
              <w:t>分到202</w:t>
            </w:r>
            <w:r>
              <w:rPr>
                <w:rFonts w:hint="eastAsia" w:ascii="宋体" w:hAnsi="宋体" w:cs="宋体"/>
                <w:sz w:val="24"/>
                <w:highlight w:val="none"/>
                <w:shd w:val="clear" w:color="auto" w:fill="auto"/>
                <w:lang w:val="en-US" w:eastAsia="zh-CN"/>
              </w:rPr>
              <w:t>6</w:t>
            </w:r>
            <w:r>
              <w:rPr>
                <w:rFonts w:hint="eastAsia" w:ascii="宋体" w:hAnsi="宋体" w:cs="宋体"/>
                <w:sz w:val="24"/>
                <w:highlight w:val="none"/>
                <w:shd w:val="clear" w:color="auto" w:fill="auto"/>
              </w:rPr>
              <w:t>年</w:t>
            </w:r>
            <w:r>
              <w:rPr>
                <w:rFonts w:hint="eastAsia" w:ascii="宋体" w:hAnsi="宋体" w:cs="宋体"/>
                <w:sz w:val="24"/>
                <w:highlight w:val="none"/>
                <w:shd w:val="clear" w:color="auto" w:fill="auto"/>
                <w:lang w:val="en-US" w:eastAsia="zh-CN"/>
              </w:rPr>
              <w:t>7</w:t>
            </w:r>
            <w:r>
              <w:rPr>
                <w:rFonts w:hint="eastAsia" w:ascii="宋体" w:hAnsi="宋体" w:cs="宋体"/>
                <w:sz w:val="24"/>
                <w:highlight w:val="none"/>
                <w:shd w:val="clear" w:color="auto" w:fill="auto"/>
              </w:rPr>
              <w:t>月</w:t>
            </w:r>
            <w:r>
              <w:rPr>
                <w:rFonts w:hint="eastAsia" w:ascii="宋体" w:hAnsi="宋体" w:cs="宋体"/>
                <w:sz w:val="24"/>
                <w:highlight w:val="none"/>
                <w:shd w:val="clear" w:color="auto" w:fill="auto"/>
                <w:lang w:val="en-US" w:eastAsia="zh-CN"/>
              </w:rPr>
              <w:t>20</w:t>
            </w:r>
            <w:r>
              <w:rPr>
                <w:rFonts w:hint="eastAsia" w:ascii="宋体" w:hAnsi="宋体" w:cs="宋体"/>
                <w:sz w:val="24"/>
                <w:highlight w:val="none"/>
                <w:shd w:val="clear" w:color="auto" w:fill="auto"/>
              </w:rPr>
              <w:t>日</w:t>
            </w:r>
            <w:r>
              <w:rPr>
                <w:rFonts w:hint="eastAsia" w:ascii="宋体" w:hAnsi="宋体" w:cs="宋体"/>
                <w:sz w:val="24"/>
                <w:highlight w:val="none"/>
                <w:shd w:val="clear" w:color="auto" w:fill="auto"/>
                <w:lang w:val="en-US" w:eastAsia="zh-CN"/>
              </w:rPr>
              <w:t>14</w:t>
            </w:r>
            <w:r>
              <w:rPr>
                <w:rFonts w:hint="eastAsia" w:ascii="宋体" w:hAnsi="宋体" w:cs="宋体"/>
                <w:sz w:val="24"/>
                <w:highlight w:val="none"/>
                <w:shd w:val="clear" w:color="auto" w:fill="auto"/>
              </w:rPr>
              <w:t>时00分</w:t>
            </w:r>
          </w:p>
          <w:p w14:paraId="1D4D468A">
            <w:pPr>
              <w:pStyle w:val="20"/>
              <w:pageBreakBefore w:val="0"/>
              <w:tabs>
                <w:tab w:val="left" w:pos="6552"/>
              </w:tabs>
              <w:kinsoku/>
              <w:wordWrap/>
              <w:overflowPunct/>
              <w:topLinePunct w:val="0"/>
              <w:bidi w:val="0"/>
              <w:adjustRightInd/>
              <w:snapToGrid/>
              <w:spacing w:afterAutospacing="0" w:line="240" w:lineRule="auto"/>
              <w:textAlignment w:val="auto"/>
              <w:rPr>
                <w:rFonts w:hint="eastAsia" w:hAnsi="宋体" w:cs="宋体"/>
                <w:sz w:val="24"/>
                <w:highlight w:val="none"/>
                <w:shd w:val="clear" w:color="auto" w:fill="auto"/>
              </w:rPr>
            </w:pPr>
            <w:r>
              <w:rPr>
                <w:rFonts w:hint="eastAsia" w:hAnsi="宋体" w:cs="宋体"/>
                <w:sz w:val="24"/>
                <w:highlight w:val="none"/>
                <w:shd w:val="clear" w:color="auto" w:fill="auto"/>
              </w:rPr>
              <w:t>（工作日）</w:t>
            </w:r>
          </w:p>
        </w:tc>
      </w:tr>
      <w:tr w14:paraId="51115D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769" w:type="dxa"/>
            <w:vAlign w:val="center"/>
          </w:tcPr>
          <w:p w14:paraId="367F7D41">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11</w:t>
            </w:r>
          </w:p>
        </w:tc>
        <w:tc>
          <w:tcPr>
            <w:tcW w:w="1090" w:type="dxa"/>
            <w:vAlign w:val="center"/>
          </w:tcPr>
          <w:p w14:paraId="53F4F476">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11.1</w:t>
            </w:r>
          </w:p>
        </w:tc>
        <w:tc>
          <w:tcPr>
            <w:tcW w:w="8534" w:type="dxa"/>
            <w:vAlign w:val="center"/>
          </w:tcPr>
          <w:p w14:paraId="77534880">
            <w:pPr>
              <w:pageBreakBefore w:val="0"/>
              <w:kinsoku/>
              <w:wordWrap/>
              <w:overflowPunct/>
              <w:topLinePunct w:val="0"/>
              <w:bidi w:val="0"/>
              <w:adjustRightInd/>
              <w:snapToGrid/>
              <w:spacing w:afterAutospacing="0" w:line="240" w:lineRule="auto"/>
              <w:textAlignment w:val="auto"/>
              <w:rPr>
                <w:rFonts w:hint="eastAsia" w:ascii="宋体" w:hAnsi="宋体" w:cs="宋体"/>
                <w:sz w:val="24"/>
                <w:shd w:val="clear" w:color="auto" w:fill="auto"/>
              </w:rPr>
            </w:pPr>
            <w:r>
              <w:rPr>
                <w:rFonts w:hint="eastAsia" w:ascii="宋体" w:hAnsi="宋体" w:cs="宋体"/>
                <w:sz w:val="24"/>
                <w:shd w:val="clear" w:color="auto" w:fill="auto"/>
              </w:rPr>
              <w:t>投标文件份数：</w:t>
            </w:r>
            <w:r>
              <w:rPr>
                <w:rFonts w:hint="eastAsia" w:ascii="宋体" w:hAnsi="宋体" w:cs="宋体"/>
                <w:kern w:val="0"/>
                <w:sz w:val="24"/>
                <w:shd w:val="clear" w:color="auto" w:fill="auto"/>
              </w:rPr>
              <w:t xml:space="preserve">正本1份，副本 4 </w:t>
            </w:r>
            <w:bookmarkStart w:id="306" w:name="_GoBack"/>
            <w:bookmarkEnd w:id="306"/>
            <w:r>
              <w:rPr>
                <w:rFonts w:hint="eastAsia" w:ascii="宋体" w:hAnsi="宋体" w:cs="宋体"/>
                <w:kern w:val="0"/>
                <w:sz w:val="24"/>
                <w:shd w:val="clear" w:color="auto" w:fill="auto"/>
              </w:rPr>
              <w:t>份，电子版U盘1份</w:t>
            </w:r>
            <w:r>
              <w:rPr>
                <w:rFonts w:hint="eastAsia" w:ascii="宋体" w:hAnsi="宋体" w:cs="宋体"/>
                <w:sz w:val="24"/>
                <w:shd w:val="clear" w:color="auto" w:fill="auto"/>
              </w:rPr>
              <w:t>，每个</w:t>
            </w:r>
            <w:r>
              <w:rPr>
                <w:rFonts w:hint="eastAsia" w:ascii="宋体" w:hAnsi="宋体" w:cs="宋体"/>
                <w:kern w:val="0"/>
                <w:sz w:val="24"/>
                <w:shd w:val="clear" w:color="auto" w:fill="auto"/>
              </w:rPr>
              <w:t>U盘</w:t>
            </w:r>
            <w:r>
              <w:rPr>
                <w:rFonts w:hint="eastAsia" w:ascii="宋体" w:hAnsi="宋体" w:cs="宋体"/>
                <w:sz w:val="24"/>
                <w:shd w:val="clear" w:color="auto" w:fill="auto"/>
              </w:rPr>
              <w:t>里的投标文件为pdf格式，若电子文件与书面文件之间有任何差异则以书面文件为准。</w:t>
            </w:r>
          </w:p>
        </w:tc>
      </w:tr>
      <w:tr w14:paraId="36325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9" w:type="dxa"/>
            <w:vAlign w:val="center"/>
          </w:tcPr>
          <w:p w14:paraId="223ABD80">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12</w:t>
            </w:r>
          </w:p>
        </w:tc>
        <w:tc>
          <w:tcPr>
            <w:tcW w:w="1090" w:type="dxa"/>
            <w:vAlign w:val="center"/>
          </w:tcPr>
          <w:p w14:paraId="42849E3C">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12.1</w:t>
            </w:r>
          </w:p>
        </w:tc>
        <w:tc>
          <w:tcPr>
            <w:tcW w:w="8534" w:type="dxa"/>
            <w:vAlign w:val="center"/>
          </w:tcPr>
          <w:p w14:paraId="74B72941">
            <w:pPr>
              <w:pStyle w:val="20"/>
              <w:pageBreakBefore w:val="0"/>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sz w:val="24"/>
                <w:shd w:val="clear" w:color="auto" w:fill="auto"/>
              </w:rPr>
              <w:t>投标文件递交至：</w:t>
            </w:r>
          </w:p>
          <w:p w14:paraId="31B68B11">
            <w:pPr>
              <w:pStyle w:val="20"/>
              <w:pageBreakBefore w:val="0"/>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sz w:val="24"/>
                <w:shd w:val="clear" w:color="auto" w:fill="auto"/>
              </w:rPr>
              <w:t>单位：天津市管道工程集团有限公司第八分公司</w:t>
            </w:r>
          </w:p>
          <w:p w14:paraId="4301C6BE">
            <w:pPr>
              <w:pStyle w:val="20"/>
              <w:pageBreakBefore w:val="0"/>
              <w:tabs>
                <w:tab w:val="left" w:pos="6552"/>
              </w:tabs>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sz w:val="24"/>
                <w:shd w:val="clear" w:color="auto" w:fill="auto"/>
              </w:rPr>
              <w:t>地址：（天津市海源道2号华水大厦三楼招投标室）</w:t>
            </w:r>
          </w:p>
        </w:tc>
      </w:tr>
      <w:tr w14:paraId="2F6A6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69" w:type="dxa"/>
            <w:vAlign w:val="center"/>
          </w:tcPr>
          <w:p w14:paraId="43423530">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13</w:t>
            </w:r>
          </w:p>
        </w:tc>
        <w:tc>
          <w:tcPr>
            <w:tcW w:w="1090" w:type="dxa"/>
            <w:vAlign w:val="center"/>
          </w:tcPr>
          <w:p w14:paraId="5DFF42C2">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13.1</w:t>
            </w:r>
          </w:p>
        </w:tc>
        <w:tc>
          <w:tcPr>
            <w:tcW w:w="8534" w:type="dxa"/>
            <w:vAlign w:val="center"/>
          </w:tcPr>
          <w:p w14:paraId="24B101E4">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szCs w:val="20"/>
                <w:highlight w:val="none"/>
                <w:shd w:val="clear" w:color="auto" w:fill="auto"/>
              </w:rPr>
            </w:pPr>
            <w:r>
              <w:rPr>
                <w:rFonts w:hint="eastAsia" w:hAnsi="宋体" w:cs="宋体"/>
                <w:sz w:val="24"/>
                <w:highlight w:val="none"/>
                <w:shd w:val="clear" w:color="auto" w:fill="auto"/>
              </w:rPr>
              <w:t>递交标书时间：</w:t>
            </w:r>
            <w:r>
              <w:rPr>
                <w:rFonts w:hint="eastAsia" w:ascii="宋体" w:hAnsi="宋体" w:cs="宋体"/>
                <w:sz w:val="24"/>
                <w:highlight w:val="none"/>
                <w:shd w:val="clear" w:color="auto" w:fill="auto"/>
              </w:rPr>
              <w:t>202</w:t>
            </w:r>
            <w:r>
              <w:rPr>
                <w:rFonts w:hint="eastAsia" w:ascii="宋体" w:hAnsi="宋体" w:cs="宋体"/>
                <w:sz w:val="24"/>
                <w:highlight w:val="none"/>
                <w:shd w:val="clear" w:color="auto" w:fill="auto"/>
                <w:lang w:val="en-US" w:eastAsia="zh-CN"/>
              </w:rPr>
              <w:t>6</w:t>
            </w:r>
            <w:r>
              <w:rPr>
                <w:rFonts w:hint="eastAsia" w:ascii="宋体" w:hAnsi="宋体" w:cs="宋体"/>
                <w:sz w:val="24"/>
                <w:highlight w:val="none"/>
                <w:shd w:val="clear" w:color="auto" w:fill="auto"/>
              </w:rPr>
              <w:t>年</w:t>
            </w:r>
            <w:r>
              <w:rPr>
                <w:rFonts w:hint="eastAsia" w:ascii="宋体" w:hAnsi="宋体" w:cs="宋体"/>
                <w:sz w:val="24"/>
                <w:highlight w:val="none"/>
                <w:shd w:val="clear" w:color="auto" w:fill="auto"/>
                <w:lang w:val="en-US" w:eastAsia="zh-CN"/>
              </w:rPr>
              <w:t>7</w:t>
            </w:r>
            <w:r>
              <w:rPr>
                <w:rFonts w:hint="eastAsia" w:ascii="宋体" w:hAnsi="宋体" w:cs="宋体"/>
                <w:sz w:val="24"/>
                <w:highlight w:val="none"/>
                <w:shd w:val="clear" w:color="auto" w:fill="auto"/>
              </w:rPr>
              <w:t>月</w:t>
            </w:r>
            <w:r>
              <w:rPr>
                <w:rFonts w:hint="eastAsia" w:ascii="宋体" w:hAnsi="宋体" w:cs="宋体"/>
                <w:sz w:val="24"/>
                <w:highlight w:val="none"/>
                <w:shd w:val="clear" w:color="auto" w:fill="auto"/>
                <w:lang w:val="en-US" w:eastAsia="zh-CN"/>
              </w:rPr>
              <w:t>13</w:t>
            </w:r>
            <w:r>
              <w:rPr>
                <w:rFonts w:hint="eastAsia" w:ascii="宋体" w:hAnsi="宋体" w:cs="宋体"/>
                <w:sz w:val="24"/>
                <w:highlight w:val="none"/>
                <w:shd w:val="clear" w:color="auto" w:fill="auto"/>
              </w:rPr>
              <w:t>日</w:t>
            </w:r>
            <w:r>
              <w:rPr>
                <w:rFonts w:hint="eastAsia" w:ascii="宋体" w:hAnsi="宋体" w:cs="宋体"/>
                <w:sz w:val="24"/>
                <w:highlight w:val="none"/>
                <w:shd w:val="clear" w:color="auto" w:fill="auto"/>
                <w:lang w:val="en-US" w:eastAsia="zh-CN"/>
              </w:rPr>
              <w:t>14</w:t>
            </w:r>
            <w:r>
              <w:rPr>
                <w:rFonts w:hint="eastAsia" w:ascii="宋体" w:hAnsi="宋体" w:cs="宋体"/>
                <w:sz w:val="24"/>
                <w:highlight w:val="none"/>
                <w:shd w:val="clear" w:color="auto" w:fill="auto"/>
              </w:rPr>
              <w:t>时</w:t>
            </w:r>
            <w:r>
              <w:rPr>
                <w:rFonts w:hint="eastAsia" w:ascii="宋体" w:hAnsi="宋体" w:cs="宋体"/>
                <w:sz w:val="24"/>
                <w:highlight w:val="none"/>
                <w:shd w:val="clear" w:color="auto" w:fill="auto"/>
                <w:lang w:val="en-US" w:eastAsia="zh-CN"/>
              </w:rPr>
              <w:t>00</w:t>
            </w:r>
            <w:r>
              <w:rPr>
                <w:rFonts w:hint="eastAsia" w:ascii="宋体" w:hAnsi="宋体" w:cs="宋体"/>
                <w:sz w:val="24"/>
                <w:highlight w:val="none"/>
                <w:shd w:val="clear" w:color="auto" w:fill="auto"/>
              </w:rPr>
              <w:t>分到202</w:t>
            </w:r>
            <w:r>
              <w:rPr>
                <w:rFonts w:hint="eastAsia" w:ascii="宋体" w:hAnsi="宋体" w:cs="宋体"/>
                <w:sz w:val="24"/>
                <w:highlight w:val="none"/>
                <w:shd w:val="clear" w:color="auto" w:fill="auto"/>
                <w:lang w:val="en-US" w:eastAsia="zh-CN"/>
              </w:rPr>
              <w:t>6</w:t>
            </w:r>
            <w:r>
              <w:rPr>
                <w:rFonts w:hint="eastAsia" w:ascii="宋体" w:hAnsi="宋体" w:cs="宋体"/>
                <w:sz w:val="24"/>
                <w:highlight w:val="none"/>
                <w:shd w:val="clear" w:color="auto" w:fill="auto"/>
              </w:rPr>
              <w:t>年</w:t>
            </w:r>
            <w:r>
              <w:rPr>
                <w:rFonts w:hint="eastAsia" w:ascii="宋体" w:hAnsi="宋体" w:cs="宋体"/>
                <w:sz w:val="24"/>
                <w:highlight w:val="none"/>
                <w:shd w:val="clear" w:color="auto" w:fill="auto"/>
                <w:lang w:val="en-US" w:eastAsia="zh-CN"/>
              </w:rPr>
              <w:t>7</w:t>
            </w:r>
            <w:r>
              <w:rPr>
                <w:rFonts w:hint="eastAsia" w:ascii="宋体" w:hAnsi="宋体" w:cs="宋体"/>
                <w:sz w:val="24"/>
                <w:highlight w:val="none"/>
                <w:shd w:val="clear" w:color="auto" w:fill="auto"/>
              </w:rPr>
              <w:t>月</w:t>
            </w:r>
            <w:r>
              <w:rPr>
                <w:rFonts w:hint="eastAsia" w:ascii="宋体" w:hAnsi="宋体" w:cs="宋体"/>
                <w:sz w:val="24"/>
                <w:highlight w:val="none"/>
                <w:shd w:val="clear" w:color="auto" w:fill="auto"/>
                <w:lang w:val="en-US" w:eastAsia="zh-CN"/>
              </w:rPr>
              <w:t>20</w:t>
            </w:r>
            <w:r>
              <w:rPr>
                <w:rFonts w:hint="eastAsia" w:ascii="宋体" w:hAnsi="宋体" w:cs="宋体"/>
                <w:sz w:val="24"/>
                <w:highlight w:val="none"/>
                <w:shd w:val="clear" w:color="auto" w:fill="auto"/>
              </w:rPr>
              <w:t>日</w:t>
            </w:r>
            <w:r>
              <w:rPr>
                <w:rFonts w:hint="eastAsia" w:ascii="宋体" w:hAnsi="宋体" w:cs="宋体"/>
                <w:sz w:val="24"/>
                <w:highlight w:val="none"/>
                <w:shd w:val="clear" w:color="auto" w:fill="auto"/>
                <w:lang w:val="en-US" w:eastAsia="zh-CN"/>
              </w:rPr>
              <w:t>14</w:t>
            </w:r>
            <w:r>
              <w:rPr>
                <w:rFonts w:hint="eastAsia" w:ascii="宋体" w:hAnsi="宋体" w:cs="宋体"/>
                <w:sz w:val="24"/>
                <w:highlight w:val="none"/>
                <w:shd w:val="clear" w:color="auto" w:fill="auto"/>
              </w:rPr>
              <w:t>时00分</w:t>
            </w:r>
            <w:r>
              <w:rPr>
                <w:rFonts w:hint="eastAsia" w:ascii="宋体" w:hAnsi="宋体" w:cs="宋体"/>
                <w:sz w:val="24"/>
                <w:szCs w:val="20"/>
                <w:highlight w:val="none"/>
                <w:shd w:val="clear" w:color="auto" w:fill="auto"/>
              </w:rPr>
              <w:t>（工作日）</w:t>
            </w:r>
          </w:p>
          <w:p w14:paraId="35A25382">
            <w:pPr>
              <w:pStyle w:val="20"/>
              <w:pageBreakBefore w:val="0"/>
              <w:kinsoku/>
              <w:wordWrap/>
              <w:overflowPunct/>
              <w:topLinePunct w:val="0"/>
              <w:bidi w:val="0"/>
              <w:adjustRightInd/>
              <w:snapToGrid/>
              <w:spacing w:afterAutospacing="0" w:line="240" w:lineRule="auto"/>
              <w:textAlignment w:val="auto"/>
              <w:rPr>
                <w:rFonts w:hint="eastAsia" w:hAnsi="宋体" w:cs="宋体"/>
                <w:sz w:val="24"/>
                <w:highlight w:val="none"/>
                <w:shd w:val="clear" w:color="auto" w:fill="auto"/>
              </w:rPr>
            </w:pPr>
            <w:r>
              <w:rPr>
                <w:rFonts w:hint="eastAsia" w:hAnsi="宋体" w:cs="宋体"/>
                <w:sz w:val="24"/>
                <w:highlight w:val="none"/>
                <w:shd w:val="clear" w:color="auto" w:fill="auto"/>
              </w:rPr>
              <w:t>投标截止时间：202</w:t>
            </w:r>
            <w:r>
              <w:rPr>
                <w:rFonts w:hint="eastAsia" w:hAnsi="宋体" w:cs="宋体"/>
                <w:sz w:val="24"/>
                <w:highlight w:val="none"/>
                <w:shd w:val="clear" w:color="auto" w:fill="auto"/>
                <w:lang w:val="en-US" w:eastAsia="zh-CN"/>
              </w:rPr>
              <w:t>6</w:t>
            </w:r>
            <w:r>
              <w:rPr>
                <w:rFonts w:hint="eastAsia" w:hAnsi="宋体" w:cs="宋体"/>
                <w:sz w:val="24"/>
                <w:highlight w:val="none"/>
                <w:shd w:val="clear" w:color="auto" w:fill="auto"/>
              </w:rPr>
              <w:t>年</w:t>
            </w:r>
            <w:r>
              <w:rPr>
                <w:rFonts w:hint="eastAsia" w:hAnsi="宋体" w:cs="宋体"/>
                <w:sz w:val="24"/>
                <w:highlight w:val="none"/>
                <w:shd w:val="clear" w:color="auto" w:fill="auto"/>
                <w:lang w:val="en-US" w:eastAsia="zh-CN"/>
              </w:rPr>
              <w:t>7</w:t>
            </w:r>
            <w:r>
              <w:rPr>
                <w:rFonts w:hint="eastAsia" w:hAnsi="宋体" w:cs="宋体"/>
                <w:sz w:val="24"/>
                <w:highlight w:val="none"/>
                <w:shd w:val="clear" w:color="auto" w:fill="auto"/>
              </w:rPr>
              <w:t>月</w:t>
            </w:r>
            <w:r>
              <w:rPr>
                <w:rFonts w:hint="eastAsia" w:hAnsi="宋体" w:cs="宋体"/>
                <w:sz w:val="24"/>
                <w:highlight w:val="none"/>
                <w:shd w:val="clear" w:color="auto" w:fill="auto"/>
                <w:lang w:val="en-US" w:eastAsia="zh-CN"/>
              </w:rPr>
              <w:t>20</w:t>
            </w:r>
            <w:r>
              <w:rPr>
                <w:rFonts w:hint="eastAsia" w:hAnsi="宋体" w:cs="宋体"/>
                <w:sz w:val="24"/>
                <w:highlight w:val="none"/>
                <w:shd w:val="clear" w:color="auto" w:fill="auto"/>
              </w:rPr>
              <w:t>日</w:t>
            </w:r>
            <w:r>
              <w:rPr>
                <w:rFonts w:hint="eastAsia" w:hAnsi="宋体" w:cs="宋体"/>
                <w:sz w:val="24"/>
                <w:highlight w:val="none"/>
                <w:shd w:val="clear" w:color="auto" w:fill="auto"/>
                <w:lang w:val="en-US" w:eastAsia="zh-CN"/>
              </w:rPr>
              <w:t>14</w:t>
            </w:r>
            <w:r>
              <w:rPr>
                <w:rFonts w:hint="eastAsia" w:hAnsi="宋体" w:cs="宋体"/>
                <w:sz w:val="24"/>
                <w:highlight w:val="none"/>
                <w:shd w:val="clear" w:color="auto" w:fill="auto"/>
              </w:rPr>
              <w:t>时00分</w:t>
            </w:r>
            <w:r>
              <w:rPr>
                <w:rFonts w:hint="eastAsia" w:hAnsi="宋体" w:cs="宋体"/>
                <w:sz w:val="24"/>
                <w:highlight w:val="none"/>
                <w:shd w:val="clear" w:color="auto" w:fill="auto"/>
              </w:rPr>
              <w:t>（北京时间）</w:t>
            </w:r>
          </w:p>
        </w:tc>
      </w:tr>
      <w:tr w14:paraId="7B8EA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69" w:type="dxa"/>
            <w:vAlign w:val="center"/>
          </w:tcPr>
          <w:p w14:paraId="20074DCD">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14</w:t>
            </w:r>
          </w:p>
        </w:tc>
        <w:tc>
          <w:tcPr>
            <w:tcW w:w="1090" w:type="dxa"/>
            <w:vAlign w:val="center"/>
          </w:tcPr>
          <w:p w14:paraId="5340859E">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14.1</w:t>
            </w:r>
          </w:p>
        </w:tc>
        <w:tc>
          <w:tcPr>
            <w:tcW w:w="8534" w:type="dxa"/>
            <w:vAlign w:val="center"/>
          </w:tcPr>
          <w:p w14:paraId="6D52D790">
            <w:pPr>
              <w:pStyle w:val="20"/>
              <w:pageBreakBefore w:val="0"/>
              <w:kinsoku/>
              <w:wordWrap/>
              <w:overflowPunct/>
              <w:topLinePunct w:val="0"/>
              <w:bidi w:val="0"/>
              <w:adjustRightInd/>
              <w:snapToGrid/>
              <w:spacing w:afterAutospacing="0" w:line="240" w:lineRule="auto"/>
              <w:textAlignment w:val="auto"/>
              <w:rPr>
                <w:rFonts w:hint="eastAsia" w:hAnsi="宋体" w:cs="宋体"/>
                <w:sz w:val="24"/>
                <w:highlight w:val="none"/>
                <w:shd w:val="clear" w:color="auto" w:fill="auto"/>
              </w:rPr>
            </w:pPr>
            <w:r>
              <w:rPr>
                <w:rFonts w:hint="eastAsia" w:hAnsi="宋体" w:cs="宋体"/>
                <w:sz w:val="24"/>
                <w:highlight w:val="none"/>
                <w:shd w:val="clear" w:color="auto" w:fill="auto"/>
              </w:rPr>
              <w:t>开标时间：202</w:t>
            </w:r>
            <w:r>
              <w:rPr>
                <w:rFonts w:hint="eastAsia" w:hAnsi="宋体" w:cs="宋体"/>
                <w:sz w:val="24"/>
                <w:highlight w:val="none"/>
                <w:shd w:val="clear" w:color="auto" w:fill="auto"/>
                <w:lang w:val="en-US" w:eastAsia="zh-CN"/>
              </w:rPr>
              <w:t>6</w:t>
            </w:r>
            <w:r>
              <w:rPr>
                <w:rFonts w:hint="eastAsia" w:hAnsi="宋体" w:cs="宋体"/>
                <w:sz w:val="24"/>
                <w:highlight w:val="none"/>
                <w:shd w:val="clear" w:color="auto" w:fill="auto"/>
              </w:rPr>
              <w:t>年</w:t>
            </w:r>
            <w:r>
              <w:rPr>
                <w:rFonts w:hint="eastAsia" w:hAnsi="宋体" w:cs="宋体"/>
                <w:sz w:val="24"/>
                <w:highlight w:val="none"/>
                <w:shd w:val="clear" w:color="auto" w:fill="auto"/>
                <w:lang w:val="en-US" w:eastAsia="zh-CN"/>
              </w:rPr>
              <w:t>7</w:t>
            </w:r>
            <w:r>
              <w:rPr>
                <w:rFonts w:hint="eastAsia" w:hAnsi="宋体" w:cs="宋体"/>
                <w:sz w:val="24"/>
                <w:highlight w:val="none"/>
                <w:shd w:val="clear" w:color="auto" w:fill="auto"/>
              </w:rPr>
              <w:t>月</w:t>
            </w:r>
            <w:r>
              <w:rPr>
                <w:rFonts w:hint="eastAsia" w:hAnsi="宋体" w:cs="宋体"/>
                <w:sz w:val="24"/>
                <w:highlight w:val="none"/>
                <w:shd w:val="clear" w:color="auto" w:fill="auto"/>
                <w:lang w:val="en-US" w:eastAsia="zh-CN"/>
              </w:rPr>
              <w:t>20</w:t>
            </w:r>
            <w:r>
              <w:rPr>
                <w:rFonts w:hint="eastAsia" w:hAnsi="宋体" w:cs="宋体"/>
                <w:sz w:val="24"/>
                <w:highlight w:val="none"/>
                <w:shd w:val="clear" w:color="auto" w:fill="auto"/>
              </w:rPr>
              <w:t>日</w:t>
            </w:r>
            <w:r>
              <w:rPr>
                <w:rFonts w:hint="eastAsia" w:hAnsi="宋体" w:cs="宋体"/>
                <w:sz w:val="24"/>
                <w:highlight w:val="none"/>
                <w:shd w:val="clear" w:color="auto" w:fill="auto"/>
                <w:lang w:val="en-US" w:eastAsia="zh-CN"/>
              </w:rPr>
              <w:t>14</w:t>
            </w:r>
            <w:r>
              <w:rPr>
                <w:rFonts w:hint="eastAsia" w:hAnsi="宋体" w:cs="宋体"/>
                <w:sz w:val="24"/>
                <w:highlight w:val="none"/>
                <w:shd w:val="clear" w:color="auto" w:fill="auto"/>
              </w:rPr>
              <w:t>时00分</w:t>
            </w:r>
            <w:r>
              <w:rPr>
                <w:rFonts w:hint="eastAsia" w:hAnsi="宋体" w:cs="宋体"/>
                <w:sz w:val="24"/>
                <w:highlight w:val="none"/>
                <w:shd w:val="clear" w:color="auto" w:fill="auto"/>
              </w:rPr>
              <w:t>（北京时间）</w:t>
            </w:r>
          </w:p>
          <w:p w14:paraId="1E248F00">
            <w:pPr>
              <w:pStyle w:val="20"/>
              <w:pageBreakBefore w:val="0"/>
              <w:kinsoku/>
              <w:wordWrap/>
              <w:overflowPunct/>
              <w:topLinePunct w:val="0"/>
              <w:bidi w:val="0"/>
              <w:adjustRightInd/>
              <w:snapToGrid/>
              <w:spacing w:afterAutospacing="0" w:line="240" w:lineRule="auto"/>
              <w:textAlignment w:val="auto"/>
              <w:rPr>
                <w:rFonts w:hint="eastAsia" w:hAnsi="宋体" w:cs="宋体"/>
                <w:sz w:val="24"/>
                <w:highlight w:val="none"/>
                <w:shd w:val="clear" w:color="auto" w:fill="auto"/>
              </w:rPr>
            </w:pPr>
            <w:r>
              <w:rPr>
                <w:rFonts w:hint="eastAsia" w:hAnsi="宋体" w:cs="宋体"/>
                <w:sz w:val="24"/>
                <w:highlight w:val="none"/>
                <w:shd w:val="clear" w:color="auto" w:fill="auto"/>
              </w:rPr>
              <w:t>开标地点：天津市海源道2号华水大厦三楼招投标室</w:t>
            </w:r>
          </w:p>
        </w:tc>
      </w:tr>
      <w:tr w14:paraId="4F32C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769" w:type="dxa"/>
            <w:vAlign w:val="center"/>
          </w:tcPr>
          <w:p w14:paraId="2A562AD7">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16</w:t>
            </w:r>
          </w:p>
        </w:tc>
        <w:tc>
          <w:tcPr>
            <w:tcW w:w="1090" w:type="dxa"/>
            <w:vAlign w:val="center"/>
          </w:tcPr>
          <w:p w14:paraId="46B63B11">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16.1</w:t>
            </w:r>
          </w:p>
        </w:tc>
        <w:tc>
          <w:tcPr>
            <w:tcW w:w="8534" w:type="dxa"/>
            <w:vAlign w:val="center"/>
          </w:tcPr>
          <w:p w14:paraId="5804E785">
            <w:pPr>
              <w:pStyle w:val="20"/>
              <w:pageBreakBefore w:val="0"/>
              <w:kinsoku/>
              <w:wordWrap/>
              <w:overflowPunct/>
              <w:topLinePunct w:val="0"/>
              <w:bidi w:val="0"/>
              <w:adjustRightInd/>
              <w:snapToGrid/>
              <w:spacing w:afterAutospacing="0" w:line="240" w:lineRule="auto"/>
              <w:textAlignment w:val="auto"/>
              <w:rPr>
                <w:rFonts w:hint="eastAsia" w:hAnsi="宋体" w:cs="宋体"/>
                <w:position w:val="-34"/>
                <w:sz w:val="24"/>
                <w:shd w:val="clear" w:color="auto" w:fill="auto"/>
              </w:rPr>
            </w:pPr>
            <w:r>
              <w:rPr>
                <w:rFonts w:hint="eastAsia" w:hAnsi="宋体" w:cs="宋体"/>
                <w:position w:val="-34"/>
                <w:sz w:val="24"/>
                <w:shd w:val="clear" w:color="auto" w:fill="auto"/>
              </w:rPr>
              <w:t>评标方法：详见第四章</w:t>
            </w:r>
          </w:p>
        </w:tc>
      </w:tr>
      <w:tr w14:paraId="0DA987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769" w:type="dxa"/>
            <w:vAlign w:val="center"/>
          </w:tcPr>
          <w:p w14:paraId="6ACFEC02">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17</w:t>
            </w:r>
          </w:p>
        </w:tc>
        <w:tc>
          <w:tcPr>
            <w:tcW w:w="1090" w:type="dxa"/>
            <w:vAlign w:val="center"/>
          </w:tcPr>
          <w:p w14:paraId="459DE6C3">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17.1</w:t>
            </w:r>
          </w:p>
        </w:tc>
        <w:tc>
          <w:tcPr>
            <w:tcW w:w="8534" w:type="dxa"/>
            <w:vAlign w:val="center"/>
          </w:tcPr>
          <w:p w14:paraId="55AA9F2E">
            <w:pPr>
              <w:pStyle w:val="20"/>
              <w:pageBreakBefore w:val="0"/>
              <w:kinsoku/>
              <w:wordWrap/>
              <w:overflowPunct/>
              <w:topLinePunct w:val="0"/>
              <w:bidi w:val="0"/>
              <w:adjustRightInd/>
              <w:snapToGrid/>
              <w:spacing w:afterAutospacing="0" w:line="240" w:lineRule="auto"/>
              <w:jc w:val="left"/>
              <w:textAlignment w:val="auto"/>
              <w:rPr>
                <w:rFonts w:hint="eastAsia" w:hAnsi="宋体" w:cs="宋体"/>
                <w:sz w:val="24"/>
                <w:shd w:val="clear" w:color="auto" w:fill="auto"/>
              </w:rPr>
            </w:pPr>
            <w:r>
              <w:rPr>
                <w:rFonts w:hint="eastAsia" w:hAnsi="宋体" w:cs="宋体"/>
                <w:sz w:val="24"/>
                <w:shd w:val="clear" w:color="auto" w:fill="auto"/>
              </w:rPr>
              <w:t>评标方法：综合评分法。</w:t>
            </w:r>
          </w:p>
        </w:tc>
      </w:tr>
      <w:tr w14:paraId="36994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769" w:type="dxa"/>
            <w:vAlign w:val="center"/>
          </w:tcPr>
          <w:p w14:paraId="3BBEE5AE">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18</w:t>
            </w:r>
          </w:p>
        </w:tc>
        <w:tc>
          <w:tcPr>
            <w:tcW w:w="1090" w:type="dxa"/>
            <w:vAlign w:val="center"/>
          </w:tcPr>
          <w:p w14:paraId="257E0AF2">
            <w:pPr>
              <w:pStyle w:val="20"/>
              <w:pageBreakBefore w:val="0"/>
              <w:kinsoku/>
              <w:wordWrap/>
              <w:overflowPunct/>
              <w:topLinePunct w:val="0"/>
              <w:bidi w:val="0"/>
              <w:adjustRightInd/>
              <w:snapToGrid/>
              <w:spacing w:afterAutospacing="0" w:line="240" w:lineRule="auto"/>
              <w:jc w:val="center"/>
              <w:textAlignment w:val="auto"/>
              <w:rPr>
                <w:rFonts w:hint="eastAsia" w:hAnsi="宋体" w:cs="宋体"/>
                <w:sz w:val="24"/>
                <w:shd w:val="clear" w:color="auto" w:fill="auto"/>
              </w:rPr>
            </w:pPr>
            <w:r>
              <w:rPr>
                <w:rFonts w:hint="eastAsia" w:hAnsi="宋体" w:cs="宋体"/>
                <w:sz w:val="24"/>
                <w:shd w:val="clear" w:color="auto" w:fill="auto"/>
              </w:rPr>
              <w:t>18.1</w:t>
            </w:r>
          </w:p>
        </w:tc>
        <w:tc>
          <w:tcPr>
            <w:tcW w:w="8534" w:type="dxa"/>
            <w:vAlign w:val="center"/>
          </w:tcPr>
          <w:p w14:paraId="6F76AB5F">
            <w:pPr>
              <w:pStyle w:val="20"/>
              <w:pageBreakBefore w:val="0"/>
              <w:kinsoku/>
              <w:wordWrap/>
              <w:overflowPunct/>
              <w:topLinePunct w:val="0"/>
              <w:bidi w:val="0"/>
              <w:adjustRightInd/>
              <w:snapToGrid/>
              <w:spacing w:afterAutospacing="0" w:line="240" w:lineRule="auto"/>
              <w:jc w:val="left"/>
              <w:textAlignment w:val="auto"/>
              <w:rPr>
                <w:rFonts w:hint="eastAsia" w:hAnsi="宋体" w:cs="宋体"/>
                <w:sz w:val="24"/>
                <w:shd w:val="clear" w:color="auto" w:fill="auto"/>
              </w:rPr>
            </w:pPr>
            <w:r>
              <w:rPr>
                <w:rFonts w:hint="eastAsia" w:hAnsi="宋体" w:cs="宋体"/>
                <w:sz w:val="24"/>
                <w:shd w:val="clear" w:color="auto" w:fill="auto"/>
              </w:rPr>
              <w:t>评审小组的组建：评标委员会由天津市管道工程集团有限公司第八分公司专家组成，人数为5人或5人以上单数，其中技术、经济专家不少于总人数的三分之二。</w:t>
            </w:r>
          </w:p>
        </w:tc>
      </w:tr>
    </w:tbl>
    <w:p w14:paraId="30D1164D">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z w:val="36"/>
          <w:szCs w:val="36"/>
          <w:shd w:val="clear" w:color="auto" w:fill="auto"/>
        </w:rPr>
      </w:pPr>
      <w:r>
        <w:rPr>
          <w:rFonts w:hint="eastAsia" w:ascii="宋体" w:hAnsi="宋体" w:cs="宋体"/>
          <w:b w:val="0"/>
          <w:sz w:val="24"/>
          <w:shd w:val="clear" w:color="auto" w:fill="auto"/>
        </w:rPr>
        <w:br w:type="page"/>
      </w:r>
      <w:bookmarkStart w:id="19" w:name="_Toc25493"/>
      <w:bookmarkStart w:id="20" w:name="_Toc12174"/>
      <w:bookmarkStart w:id="21" w:name="_Toc27191"/>
      <w:bookmarkStart w:id="22" w:name="_Toc10706"/>
      <w:bookmarkStart w:id="23" w:name="_Toc28022"/>
      <w:bookmarkStart w:id="24" w:name="_Toc24120"/>
      <w:bookmarkStart w:id="25" w:name="_Toc3793"/>
      <w:bookmarkStart w:id="26" w:name="_Toc7442"/>
      <w:bookmarkStart w:id="27" w:name="_Toc32129"/>
      <w:bookmarkStart w:id="28" w:name="_Toc334687551"/>
      <w:bookmarkStart w:id="29" w:name="_Toc26204"/>
      <w:bookmarkStart w:id="30" w:name="_Toc395039552"/>
      <w:bookmarkStart w:id="31" w:name="_Toc395198151"/>
      <w:bookmarkStart w:id="32" w:name="_Toc5848"/>
      <w:bookmarkStart w:id="33" w:name="_Toc26865879"/>
      <w:bookmarkStart w:id="34" w:name="_Toc10227"/>
      <w:bookmarkStart w:id="35" w:name="_Toc27697"/>
      <w:bookmarkStart w:id="36" w:name="_Toc11227"/>
      <w:bookmarkStart w:id="37" w:name="_Toc7510"/>
      <w:r>
        <w:rPr>
          <w:rFonts w:hint="eastAsia" w:ascii="宋体" w:hAnsi="宋体" w:cs="宋体"/>
          <w:szCs w:val="40"/>
          <w:shd w:val="clear" w:color="auto" w:fill="auto"/>
        </w:rPr>
        <w:t>一、</w:t>
      </w:r>
      <w:r>
        <w:rPr>
          <w:rFonts w:hint="eastAsia" w:ascii="宋体" w:hAnsi="宋体" w:cs="宋体"/>
          <w:sz w:val="36"/>
          <w:szCs w:val="36"/>
          <w:shd w:val="clear" w:color="auto" w:fill="auto"/>
        </w:rPr>
        <w:t>总  则</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60514AF5">
      <w:pPr>
        <w:pStyle w:val="20"/>
        <w:pageBreakBefore w:val="0"/>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b/>
          <w:sz w:val="24"/>
          <w:shd w:val="clear" w:color="auto" w:fill="auto"/>
        </w:rPr>
        <w:t>1、招标项目说明</w:t>
      </w:r>
    </w:p>
    <w:p w14:paraId="29B581AE">
      <w:pPr>
        <w:pStyle w:val="7"/>
        <w:pageBreakBefore w:val="0"/>
        <w:kinsoku/>
        <w:wordWrap/>
        <w:overflowPunct/>
        <w:topLinePunct w:val="0"/>
        <w:bidi w:val="0"/>
        <w:adjustRightInd/>
        <w:snapToGrid/>
        <w:spacing w:afterAutospacing="0" w:line="240" w:lineRule="auto"/>
        <w:textAlignment w:val="auto"/>
        <w:rPr>
          <w:rFonts w:hint="eastAsia" w:ascii="宋体" w:hAnsi="宋体" w:eastAsia="宋体" w:cs="宋体"/>
          <w:shd w:val="clear" w:color="auto" w:fill="auto"/>
        </w:rPr>
      </w:pPr>
      <w:r>
        <w:rPr>
          <w:rFonts w:hint="eastAsia" w:ascii="宋体" w:hAnsi="宋体" w:eastAsia="宋体" w:cs="宋体"/>
          <w:shd w:val="clear" w:color="auto" w:fill="auto"/>
        </w:rPr>
        <w:t>1.1 招标项目名称及概况见投标须知前附表（以下称“前附表” ）第1项所述。</w:t>
      </w:r>
    </w:p>
    <w:p w14:paraId="333CC089">
      <w:pPr>
        <w:pStyle w:val="7"/>
        <w:pageBreakBefore w:val="0"/>
        <w:kinsoku/>
        <w:wordWrap/>
        <w:overflowPunct/>
        <w:topLinePunct w:val="0"/>
        <w:bidi w:val="0"/>
        <w:adjustRightInd/>
        <w:snapToGrid/>
        <w:spacing w:afterAutospacing="0" w:line="240" w:lineRule="auto"/>
        <w:textAlignment w:val="auto"/>
        <w:rPr>
          <w:rFonts w:hint="eastAsia" w:ascii="宋体" w:hAnsi="宋体" w:eastAsia="宋体" w:cs="宋体"/>
          <w:shd w:val="clear" w:color="auto" w:fill="auto"/>
        </w:rPr>
      </w:pPr>
      <w:r>
        <w:rPr>
          <w:rFonts w:hint="eastAsia" w:ascii="宋体" w:hAnsi="宋体" w:eastAsia="宋体" w:cs="宋体"/>
          <w:shd w:val="clear" w:color="auto" w:fill="auto"/>
        </w:rPr>
        <w:t>1.2招标范围见前附表第2项所述。</w:t>
      </w:r>
    </w:p>
    <w:p w14:paraId="3CB316D2">
      <w:pPr>
        <w:pStyle w:val="7"/>
        <w:pageBreakBefore w:val="0"/>
        <w:kinsoku/>
        <w:wordWrap/>
        <w:overflowPunct/>
        <w:topLinePunct w:val="0"/>
        <w:bidi w:val="0"/>
        <w:adjustRightInd/>
        <w:snapToGrid/>
        <w:spacing w:afterAutospacing="0" w:line="240" w:lineRule="auto"/>
        <w:textAlignment w:val="auto"/>
        <w:rPr>
          <w:rFonts w:hint="eastAsia" w:ascii="宋体" w:hAnsi="宋体" w:eastAsia="宋体" w:cs="宋体"/>
          <w:shd w:val="clear" w:color="auto" w:fill="auto"/>
        </w:rPr>
      </w:pPr>
      <w:r>
        <w:rPr>
          <w:rFonts w:hint="eastAsia" w:ascii="宋体" w:hAnsi="宋体" w:eastAsia="宋体" w:cs="宋体"/>
          <w:shd w:val="clear" w:color="auto" w:fill="auto"/>
        </w:rPr>
        <w:t>1.3服务周期见前附表第3项所述。</w:t>
      </w:r>
    </w:p>
    <w:p w14:paraId="3D7F41F8">
      <w:pPr>
        <w:pStyle w:val="7"/>
        <w:pageBreakBefore w:val="0"/>
        <w:kinsoku/>
        <w:wordWrap/>
        <w:overflowPunct/>
        <w:topLinePunct w:val="0"/>
        <w:bidi w:val="0"/>
        <w:adjustRightInd/>
        <w:snapToGrid/>
        <w:spacing w:afterAutospacing="0" w:line="240" w:lineRule="auto"/>
        <w:textAlignment w:val="auto"/>
        <w:rPr>
          <w:rFonts w:hint="eastAsia" w:ascii="宋体" w:hAnsi="宋体" w:eastAsia="宋体" w:cs="宋体"/>
          <w:shd w:val="clear" w:color="auto" w:fill="auto"/>
        </w:rPr>
      </w:pPr>
      <w:r>
        <w:rPr>
          <w:rFonts w:hint="eastAsia" w:ascii="宋体" w:hAnsi="宋体" w:eastAsia="宋体" w:cs="宋体"/>
          <w:shd w:val="clear" w:color="auto" w:fill="auto"/>
        </w:rPr>
        <w:t>1.4本招标项目已按照《中华人民共和国招标投标法》、《中华人民共和国招标投标法实施条例》以及其他法律法规的有关规定，现通过集团招标来择优选定专业分包单位。请领到本招标文件、资料，有能力承担本项目服务，并遵守招标人对本项目提出的各项条件和要求的单位，按招标文件要求进行投标。注：招标人将通过招标择优确定中标单位。</w:t>
      </w:r>
    </w:p>
    <w:p w14:paraId="56128C1A">
      <w:pPr>
        <w:pStyle w:val="7"/>
        <w:pageBreakBefore w:val="0"/>
        <w:kinsoku/>
        <w:wordWrap/>
        <w:overflowPunct/>
        <w:topLinePunct w:val="0"/>
        <w:bidi w:val="0"/>
        <w:adjustRightInd/>
        <w:snapToGrid/>
        <w:spacing w:afterAutospacing="0" w:line="240" w:lineRule="auto"/>
        <w:ind w:firstLine="0" w:firstLineChars="0"/>
        <w:textAlignment w:val="auto"/>
        <w:rPr>
          <w:rFonts w:hint="eastAsia" w:ascii="宋体" w:hAnsi="宋体" w:eastAsia="宋体" w:cs="宋体"/>
          <w:b/>
          <w:bCs/>
          <w:shd w:val="clear" w:color="auto" w:fill="auto"/>
        </w:rPr>
      </w:pPr>
      <w:r>
        <w:rPr>
          <w:rFonts w:hint="eastAsia" w:ascii="宋体" w:hAnsi="宋体" w:eastAsia="宋体" w:cs="宋体"/>
          <w:b/>
          <w:bCs/>
          <w:shd w:val="clear" w:color="auto" w:fill="auto"/>
        </w:rPr>
        <w:t>2、资金来源</w:t>
      </w:r>
    </w:p>
    <w:p w14:paraId="2095A673">
      <w:pPr>
        <w:pStyle w:val="7"/>
        <w:pageBreakBefore w:val="0"/>
        <w:kinsoku/>
        <w:wordWrap/>
        <w:overflowPunct/>
        <w:topLinePunct w:val="0"/>
        <w:bidi w:val="0"/>
        <w:adjustRightInd/>
        <w:snapToGrid/>
        <w:spacing w:afterAutospacing="0" w:line="240" w:lineRule="auto"/>
        <w:textAlignment w:val="auto"/>
        <w:rPr>
          <w:rFonts w:hint="eastAsia" w:ascii="宋体" w:hAnsi="宋体" w:eastAsia="宋体" w:cs="宋体"/>
          <w:shd w:val="clear" w:color="auto" w:fill="auto"/>
        </w:rPr>
      </w:pPr>
      <w:r>
        <w:rPr>
          <w:rFonts w:hint="eastAsia" w:ascii="宋体" w:hAnsi="宋体" w:eastAsia="宋体" w:cs="宋体"/>
          <w:shd w:val="clear" w:color="auto" w:fill="auto"/>
        </w:rPr>
        <w:t xml:space="preserve"> 招标人的资金通过前附表第4项所述的方式获得，并将部分资金用于本项目合同项下的合理支付。</w:t>
      </w:r>
    </w:p>
    <w:p w14:paraId="281F5DEC">
      <w:pPr>
        <w:pStyle w:val="7"/>
        <w:pageBreakBefore w:val="0"/>
        <w:kinsoku/>
        <w:wordWrap/>
        <w:overflowPunct/>
        <w:topLinePunct w:val="0"/>
        <w:bidi w:val="0"/>
        <w:adjustRightInd/>
        <w:snapToGrid/>
        <w:spacing w:afterAutospacing="0" w:line="240" w:lineRule="auto"/>
        <w:ind w:firstLine="0" w:firstLineChars="0"/>
        <w:textAlignment w:val="auto"/>
        <w:rPr>
          <w:rFonts w:hint="eastAsia" w:ascii="宋体" w:hAnsi="宋体" w:eastAsia="宋体" w:cs="宋体"/>
          <w:b/>
          <w:bCs/>
          <w:shd w:val="clear" w:color="auto" w:fill="auto"/>
        </w:rPr>
      </w:pPr>
      <w:r>
        <w:rPr>
          <w:rFonts w:hint="eastAsia" w:ascii="宋体" w:hAnsi="宋体" w:eastAsia="宋体" w:cs="宋体"/>
          <w:b/>
          <w:bCs/>
          <w:shd w:val="clear" w:color="auto" w:fill="auto"/>
        </w:rPr>
        <w:t>3、投标人资格要求</w:t>
      </w:r>
    </w:p>
    <w:p w14:paraId="5662FFE6">
      <w:pPr>
        <w:pStyle w:val="7"/>
        <w:pageBreakBefore w:val="0"/>
        <w:kinsoku/>
        <w:wordWrap/>
        <w:overflowPunct/>
        <w:topLinePunct w:val="0"/>
        <w:bidi w:val="0"/>
        <w:adjustRightInd/>
        <w:snapToGrid/>
        <w:spacing w:afterAutospacing="0" w:line="240" w:lineRule="auto"/>
        <w:textAlignment w:val="auto"/>
        <w:rPr>
          <w:rFonts w:hint="eastAsia" w:ascii="宋体" w:hAnsi="宋体" w:eastAsia="宋体" w:cs="宋体"/>
          <w:shd w:val="clear" w:color="auto" w:fill="auto"/>
        </w:rPr>
      </w:pPr>
      <w:r>
        <w:rPr>
          <w:rFonts w:hint="eastAsia" w:ascii="宋体" w:hAnsi="宋体" w:eastAsia="宋体" w:cs="宋体"/>
          <w:shd w:val="clear" w:color="auto" w:fill="auto"/>
        </w:rPr>
        <w:t>3.1本招标项目采用资格后审的资格审查方式确定合格的投标人。</w:t>
      </w:r>
    </w:p>
    <w:p w14:paraId="2EFFFA3D">
      <w:pPr>
        <w:pStyle w:val="7"/>
        <w:pageBreakBefore w:val="0"/>
        <w:kinsoku/>
        <w:wordWrap/>
        <w:overflowPunct/>
        <w:topLinePunct w:val="0"/>
        <w:bidi w:val="0"/>
        <w:adjustRightInd/>
        <w:snapToGrid/>
        <w:spacing w:afterAutospacing="0" w:line="240" w:lineRule="auto"/>
        <w:textAlignment w:val="auto"/>
        <w:rPr>
          <w:rFonts w:hint="eastAsia" w:ascii="宋体" w:hAnsi="宋体" w:eastAsia="宋体" w:cs="宋体"/>
          <w:shd w:val="clear" w:color="auto" w:fill="auto"/>
        </w:rPr>
      </w:pPr>
      <w:r>
        <w:rPr>
          <w:rFonts w:hint="eastAsia" w:ascii="宋体" w:hAnsi="宋体" w:eastAsia="宋体" w:cs="宋体"/>
          <w:shd w:val="clear" w:color="auto" w:fill="auto"/>
        </w:rPr>
        <w:t>3.2投标人应具有的通过资格后审的合格条件。</w:t>
      </w:r>
    </w:p>
    <w:p w14:paraId="2D2FCE47">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4、投标费用</w:t>
      </w:r>
    </w:p>
    <w:p w14:paraId="1E0944A6">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sz w:val="24"/>
          <w:shd w:val="clear" w:color="auto" w:fill="auto"/>
        </w:rPr>
      </w:pPr>
      <w:r>
        <w:rPr>
          <w:rFonts w:hint="eastAsia" w:hAnsi="宋体" w:cs="宋体"/>
          <w:sz w:val="24"/>
          <w:shd w:val="clear" w:color="auto" w:fill="auto"/>
        </w:rPr>
        <w:t>投标人应承担编制投标文件与递交投标文件所涉及的一切费用，包括但不限于标书编制、现场考察、参加开标的交通、食宿等相关费用。不管投标结果如何，招标人不予支付，投标文件均不退回。</w:t>
      </w:r>
    </w:p>
    <w:p w14:paraId="649B5963">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z w:val="28"/>
          <w:szCs w:val="28"/>
          <w:shd w:val="clear" w:color="auto" w:fill="auto"/>
        </w:rPr>
      </w:pPr>
      <w:bookmarkStart w:id="38" w:name="_Toc1383"/>
      <w:bookmarkStart w:id="39" w:name="_Toc7619"/>
      <w:bookmarkStart w:id="40" w:name="_Toc17997"/>
      <w:bookmarkStart w:id="41" w:name="_Toc27338"/>
      <w:bookmarkStart w:id="42" w:name="_Toc14963"/>
      <w:bookmarkStart w:id="43" w:name="_Toc2107"/>
      <w:bookmarkStart w:id="44" w:name="_Toc18603"/>
      <w:bookmarkStart w:id="45" w:name="_Toc13318"/>
      <w:bookmarkStart w:id="46" w:name="_Toc395039553"/>
      <w:bookmarkStart w:id="47" w:name="_Toc654"/>
      <w:bookmarkStart w:id="48" w:name="_Toc32730"/>
      <w:bookmarkStart w:id="49" w:name="_Toc21185"/>
      <w:bookmarkStart w:id="50" w:name="_Toc14389"/>
      <w:bookmarkStart w:id="51" w:name="_Toc31965"/>
      <w:bookmarkStart w:id="52" w:name="_Toc334687552"/>
      <w:bookmarkStart w:id="53" w:name="_Toc12361"/>
      <w:bookmarkStart w:id="54" w:name="_Toc16675"/>
      <w:bookmarkStart w:id="55" w:name="_Toc395198152"/>
      <w:bookmarkStart w:id="56" w:name="_Toc26865880"/>
      <w:r>
        <w:rPr>
          <w:rFonts w:hint="eastAsia" w:ascii="宋体" w:hAnsi="宋体" w:cs="宋体"/>
          <w:sz w:val="36"/>
          <w:szCs w:val="36"/>
          <w:shd w:val="clear" w:color="auto" w:fill="auto"/>
        </w:rPr>
        <w:t>二、招标文件</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36C116F0">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5、招标文件的组成</w:t>
      </w:r>
    </w:p>
    <w:p w14:paraId="2899C536">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sz w:val="24"/>
          <w:shd w:val="clear" w:color="auto" w:fill="auto"/>
        </w:rPr>
      </w:pPr>
      <w:r>
        <w:rPr>
          <w:rFonts w:hint="eastAsia" w:hAnsi="宋体" w:cs="宋体"/>
          <w:sz w:val="24"/>
          <w:shd w:val="clear" w:color="auto" w:fill="auto"/>
        </w:rPr>
        <w:t>5.1本招标项目的招标文件包括下列文件：</w:t>
      </w:r>
    </w:p>
    <w:p w14:paraId="2E2F8228">
      <w:pPr>
        <w:pStyle w:val="20"/>
        <w:pageBreakBefore w:val="0"/>
        <w:kinsoku/>
        <w:wordWrap/>
        <w:overflowPunct/>
        <w:topLinePunct w:val="0"/>
        <w:bidi w:val="0"/>
        <w:adjustRightInd/>
        <w:snapToGrid/>
        <w:spacing w:afterAutospacing="0" w:line="240" w:lineRule="auto"/>
        <w:ind w:firstLine="420"/>
        <w:textAlignment w:val="auto"/>
        <w:rPr>
          <w:rFonts w:hint="eastAsia" w:hAnsi="宋体" w:cs="宋体"/>
          <w:sz w:val="24"/>
          <w:shd w:val="clear" w:color="auto" w:fill="auto"/>
        </w:rPr>
      </w:pPr>
      <w:r>
        <w:rPr>
          <w:rFonts w:hint="eastAsia" w:hAnsi="宋体" w:cs="宋体"/>
          <w:sz w:val="24"/>
          <w:shd w:val="clear" w:color="auto" w:fill="auto"/>
        </w:rPr>
        <w:t xml:space="preserve"> 招标文件包括下列内容：</w:t>
      </w:r>
    </w:p>
    <w:p w14:paraId="6FA114B1">
      <w:pPr>
        <w:pStyle w:val="20"/>
        <w:pageBreakBefore w:val="0"/>
        <w:numPr>
          <w:ilvl w:val="0"/>
          <w:numId w:val="2"/>
        </w:numPr>
        <w:kinsoku/>
        <w:wordWrap/>
        <w:overflowPunct/>
        <w:topLinePunct w:val="0"/>
        <w:bidi w:val="0"/>
        <w:adjustRightInd/>
        <w:snapToGrid/>
        <w:spacing w:afterAutospacing="0" w:line="240" w:lineRule="auto"/>
        <w:ind w:left="420" w:leftChars="200"/>
        <w:textAlignment w:val="auto"/>
        <w:rPr>
          <w:rFonts w:hint="eastAsia" w:hAnsi="宋体" w:cs="宋体"/>
          <w:sz w:val="24"/>
          <w:shd w:val="clear" w:color="auto" w:fill="auto"/>
        </w:rPr>
      </w:pPr>
      <w:r>
        <w:rPr>
          <w:rFonts w:hint="eastAsia" w:hAnsi="宋体" w:cs="宋体"/>
          <w:sz w:val="24"/>
          <w:shd w:val="clear" w:color="auto" w:fill="auto"/>
        </w:rPr>
        <w:t>　投标须知</w:t>
      </w:r>
    </w:p>
    <w:p w14:paraId="11A3B42D">
      <w:pPr>
        <w:pStyle w:val="20"/>
        <w:pageBreakBefore w:val="0"/>
        <w:numPr>
          <w:ilvl w:val="0"/>
          <w:numId w:val="2"/>
        </w:numPr>
        <w:kinsoku/>
        <w:wordWrap/>
        <w:overflowPunct/>
        <w:topLinePunct w:val="0"/>
        <w:bidi w:val="0"/>
        <w:adjustRightInd/>
        <w:snapToGrid/>
        <w:spacing w:afterAutospacing="0" w:line="240" w:lineRule="auto"/>
        <w:ind w:left="420" w:leftChars="200"/>
        <w:textAlignment w:val="auto"/>
        <w:rPr>
          <w:rFonts w:hint="eastAsia" w:hAnsi="宋体" w:cs="宋体"/>
          <w:sz w:val="24"/>
          <w:shd w:val="clear" w:color="auto" w:fill="auto"/>
        </w:rPr>
      </w:pPr>
      <w:r>
        <w:rPr>
          <w:rFonts w:hint="eastAsia" w:hAnsi="宋体" w:cs="宋体"/>
          <w:sz w:val="24"/>
          <w:shd w:val="clear" w:color="auto" w:fill="auto"/>
        </w:rPr>
        <w:t xml:space="preserve">  合同条款及格式</w:t>
      </w:r>
    </w:p>
    <w:p w14:paraId="5043EF26">
      <w:pPr>
        <w:pStyle w:val="20"/>
        <w:pageBreakBefore w:val="0"/>
        <w:kinsoku/>
        <w:wordWrap/>
        <w:overflowPunct/>
        <w:topLinePunct w:val="0"/>
        <w:bidi w:val="0"/>
        <w:adjustRightInd/>
        <w:snapToGrid/>
        <w:spacing w:afterAutospacing="0" w:line="240" w:lineRule="auto"/>
        <w:ind w:left="420" w:leftChars="200"/>
        <w:textAlignment w:val="auto"/>
        <w:rPr>
          <w:rFonts w:hint="eastAsia" w:hAnsi="宋体" w:cs="宋体"/>
          <w:bCs/>
          <w:sz w:val="24"/>
          <w:shd w:val="clear" w:color="auto" w:fill="auto"/>
        </w:rPr>
      </w:pPr>
      <w:r>
        <w:rPr>
          <w:rFonts w:hint="eastAsia" w:hAnsi="宋体" w:cs="宋体"/>
          <w:sz w:val="24"/>
          <w:shd w:val="clear" w:color="auto" w:fill="auto"/>
        </w:rPr>
        <w:t xml:space="preserve">第三章　  </w:t>
      </w:r>
      <w:r>
        <w:rPr>
          <w:rFonts w:hint="eastAsia" w:hAnsi="宋体" w:cs="宋体"/>
          <w:bCs/>
          <w:sz w:val="24"/>
          <w:shd w:val="clear" w:color="auto" w:fill="auto"/>
        </w:rPr>
        <w:t>用户需求书</w:t>
      </w:r>
    </w:p>
    <w:p w14:paraId="593A659C">
      <w:pPr>
        <w:pStyle w:val="20"/>
        <w:pageBreakBefore w:val="0"/>
        <w:kinsoku/>
        <w:wordWrap/>
        <w:overflowPunct/>
        <w:topLinePunct w:val="0"/>
        <w:bidi w:val="0"/>
        <w:adjustRightInd/>
        <w:snapToGrid/>
        <w:spacing w:afterAutospacing="0" w:line="240" w:lineRule="auto"/>
        <w:ind w:left="420" w:leftChars="200"/>
        <w:textAlignment w:val="auto"/>
        <w:rPr>
          <w:rFonts w:hint="eastAsia" w:hAnsi="宋体" w:cs="宋体"/>
          <w:bCs/>
          <w:sz w:val="24"/>
          <w:shd w:val="clear" w:color="auto" w:fill="auto"/>
        </w:rPr>
      </w:pPr>
      <w:r>
        <w:rPr>
          <w:rFonts w:hint="eastAsia" w:hAnsi="宋体" w:cs="宋体"/>
          <w:bCs/>
          <w:sz w:val="24"/>
          <w:shd w:val="clear" w:color="auto" w:fill="auto"/>
        </w:rPr>
        <w:t>第四章    评标办法</w:t>
      </w:r>
    </w:p>
    <w:p w14:paraId="30590596">
      <w:pPr>
        <w:pStyle w:val="20"/>
        <w:pageBreakBefore w:val="0"/>
        <w:kinsoku/>
        <w:wordWrap/>
        <w:overflowPunct/>
        <w:topLinePunct w:val="0"/>
        <w:bidi w:val="0"/>
        <w:adjustRightInd/>
        <w:snapToGrid/>
        <w:spacing w:afterAutospacing="0" w:line="240" w:lineRule="auto"/>
        <w:ind w:left="420" w:leftChars="200"/>
        <w:textAlignment w:val="auto"/>
        <w:rPr>
          <w:rFonts w:hint="eastAsia" w:hAnsi="宋体" w:cs="宋体"/>
          <w:bCs/>
          <w:sz w:val="24"/>
          <w:shd w:val="clear" w:color="auto" w:fill="auto"/>
        </w:rPr>
      </w:pPr>
      <w:r>
        <w:rPr>
          <w:rFonts w:hint="eastAsia" w:hAnsi="宋体" w:cs="宋体"/>
          <w:bCs/>
          <w:sz w:val="24"/>
          <w:shd w:val="clear" w:color="auto" w:fill="auto"/>
        </w:rPr>
        <w:t>第五章    投标文件格式</w:t>
      </w:r>
    </w:p>
    <w:p w14:paraId="62382541">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bCs/>
          <w:sz w:val="24"/>
          <w:shd w:val="clear" w:color="auto" w:fill="auto"/>
        </w:rPr>
      </w:pPr>
      <w:r>
        <w:rPr>
          <w:rFonts w:hint="eastAsia" w:hAnsi="宋体" w:cs="宋体"/>
          <w:bCs/>
          <w:sz w:val="24"/>
          <w:shd w:val="clear" w:color="auto" w:fill="auto"/>
        </w:rPr>
        <w:t>5.2领取招标文件的时间和地点见</w:t>
      </w:r>
      <w:r>
        <w:rPr>
          <w:rFonts w:hint="eastAsia" w:hAnsi="宋体" w:cs="宋体"/>
          <w:sz w:val="24"/>
          <w:shd w:val="clear" w:color="auto" w:fill="auto"/>
        </w:rPr>
        <w:t>前附表中第8项所述。</w:t>
      </w:r>
    </w:p>
    <w:p w14:paraId="1EFA1FAF">
      <w:pPr>
        <w:pageBreakBefore w:val="0"/>
        <w:kinsoku/>
        <w:wordWrap/>
        <w:overflowPunct/>
        <w:topLinePunct w:val="0"/>
        <w:bidi w:val="0"/>
        <w:adjustRightInd/>
        <w:snapToGrid/>
        <w:spacing w:afterAutospacing="0" w:line="240" w:lineRule="auto"/>
        <w:ind w:firstLine="480"/>
        <w:textAlignment w:val="auto"/>
        <w:rPr>
          <w:rFonts w:hint="eastAsia" w:ascii="宋体" w:hAnsi="宋体" w:cs="宋体"/>
          <w:sz w:val="24"/>
          <w:shd w:val="clear" w:color="auto" w:fill="auto"/>
        </w:rPr>
      </w:pPr>
      <w:r>
        <w:rPr>
          <w:rFonts w:hint="eastAsia" w:ascii="宋体" w:hAnsi="宋体" w:cs="宋体"/>
          <w:sz w:val="24"/>
          <w:shd w:val="clear" w:color="auto" w:fill="auto"/>
        </w:rPr>
        <w:t>5.3 除5.1内容外，招标人在提交投标文件截止时间3天前，以书面形式发出的对招标文件的澄清或修改内容，均为招标文件的组成部分，对招标人和投标人起约束作用。</w:t>
      </w:r>
    </w:p>
    <w:p w14:paraId="7C9E33B8">
      <w:pPr>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sz w:val="24"/>
          <w:shd w:val="clear" w:color="auto" w:fill="auto"/>
        </w:rPr>
      </w:pPr>
      <w:r>
        <w:rPr>
          <w:rFonts w:hint="eastAsia" w:ascii="宋体" w:hAnsi="宋体" w:cs="宋体"/>
          <w:sz w:val="24"/>
          <w:shd w:val="clear" w:color="auto" w:fill="auto"/>
        </w:rPr>
        <w:t>5.4投标人获取招标文件后，应认真审阅招标文件中包括投标须知、技术资料和辅助资料等所作的要求和规定。如果投标人的投标文件没有按照招标文件的要求提交全部资料和相关证件，或造成投标文件实质上不投标人招标文件的要求而被拒绝的责任由投标人自负。</w:t>
      </w:r>
    </w:p>
    <w:p w14:paraId="5C330E0E">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6、招标文件的澄清</w:t>
      </w:r>
    </w:p>
    <w:p w14:paraId="2DAF24CD">
      <w:pPr>
        <w:pStyle w:val="20"/>
        <w:pageBreakBefore w:val="0"/>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sz w:val="24"/>
          <w:shd w:val="clear" w:color="auto" w:fill="auto"/>
        </w:rPr>
        <w:t>　　6.1本招标文件的解释权归招标人所有。</w:t>
      </w:r>
    </w:p>
    <w:p w14:paraId="33238DA9">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sz w:val="24"/>
          <w:shd w:val="clear" w:color="auto" w:fill="auto"/>
        </w:rPr>
      </w:pPr>
      <w:r>
        <w:rPr>
          <w:rFonts w:hint="eastAsia" w:hAnsi="宋体" w:cs="宋体"/>
          <w:sz w:val="24"/>
          <w:shd w:val="clear" w:color="auto" w:fill="auto"/>
        </w:rPr>
        <w:t>6.2投标人在收到招标文件后，若有问题需要澄清，应按前附表第9项所述的时间和方式，将需澄清问题提请招标人予以澄清。招标人将以书面的形式予以澄清，并在投标文件递交截止之日3日之前将澄清内容以《补遗文件》形式发给所有已购买招标文件的投标人。投标人在收到《补遗文件》后，应在24小时内以传真形式向招标人确认收到。</w:t>
      </w:r>
    </w:p>
    <w:p w14:paraId="75FE6748">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7、招标文件的修改</w:t>
      </w:r>
    </w:p>
    <w:p w14:paraId="3BCD1BA9">
      <w:pPr>
        <w:pStyle w:val="20"/>
        <w:pageBreakBefore w:val="0"/>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sz w:val="24"/>
          <w:shd w:val="clear" w:color="auto" w:fill="auto"/>
        </w:rPr>
        <w:t xml:space="preserve">    7.1 在投标截止日期3日前，招标人可以主动的或依据投标人要求澄清的问题而修改招标文件，并以《补遗文件》形式通知所有已购买招标文件的投标人。</w:t>
      </w:r>
    </w:p>
    <w:p w14:paraId="46AAE874">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7.2 澄清和修改的内容为招标文件的组成部分，对投标人起约束作用。</w:t>
      </w:r>
    </w:p>
    <w:p w14:paraId="25A47D9D">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7.3招标人发出的《补遗文件》若在同一内容的表述上不一致时，则以最后发出的《补遗文件》为准。</w:t>
      </w:r>
    </w:p>
    <w:p w14:paraId="3273B0D9">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7.4为使投标人在编制投标文件时有充分时间对招标文件的《补遗文件》的内容进行研究，招标人可能酌情延长提交投标文件的截止时间，具体时间将在《补遗文件》中名明确。</w:t>
      </w:r>
    </w:p>
    <w:p w14:paraId="1B54533F">
      <w:pPr>
        <w:pageBreakBefore w:val="0"/>
        <w:kinsoku/>
        <w:wordWrap/>
        <w:overflowPunct/>
        <w:topLinePunct w:val="0"/>
        <w:bidi w:val="0"/>
        <w:adjustRightInd/>
        <w:snapToGrid/>
        <w:spacing w:afterAutospacing="0" w:line="240" w:lineRule="auto"/>
        <w:textAlignment w:val="auto"/>
        <w:rPr>
          <w:rFonts w:hint="eastAsia" w:ascii="宋体" w:hAnsi="宋体" w:cs="宋体"/>
          <w:sz w:val="24"/>
          <w:shd w:val="clear" w:color="auto" w:fill="auto"/>
        </w:rPr>
      </w:pPr>
    </w:p>
    <w:p w14:paraId="0D0A4645">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hd w:val="clear" w:color="auto" w:fill="auto"/>
        </w:rPr>
      </w:pPr>
      <w:bookmarkStart w:id="57" w:name="_Toc28891"/>
      <w:bookmarkStart w:id="58" w:name="_Toc16188"/>
      <w:bookmarkStart w:id="59" w:name="_Toc20880"/>
      <w:bookmarkStart w:id="60" w:name="_Toc2570"/>
      <w:bookmarkStart w:id="61" w:name="_Toc23087"/>
      <w:bookmarkStart w:id="62" w:name="_Toc9005"/>
      <w:bookmarkStart w:id="63" w:name="_Toc334687554"/>
      <w:bookmarkStart w:id="64" w:name="_Toc3111"/>
      <w:bookmarkStart w:id="65" w:name="_Toc32304"/>
      <w:bookmarkStart w:id="66" w:name="_Toc29032"/>
      <w:bookmarkStart w:id="67" w:name="_Toc395198154"/>
      <w:bookmarkStart w:id="68" w:name="_Toc26865881"/>
      <w:bookmarkStart w:id="69" w:name="_Toc20484"/>
      <w:bookmarkStart w:id="70" w:name="_Toc29568"/>
      <w:bookmarkStart w:id="71" w:name="_Toc14526"/>
      <w:bookmarkStart w:id="72" w:name="_Toc22484"/>
      <w:bookmarkStart w:id="73" w:name="_Toc24697"/>
      <w:bookmarkStart w:id="74" w:name="_Toc395039555"/>
      <w:bookmarkStart w:id="75" w:name="_Toc2433"/>
      <w:r>
        <w:rPr>
          <w:rFonts w:hint="eastAsia" w:ascii="宋体" w:hAnsi="宋体" w:cs="宋体"/>
          <w:shd w:val="clear" w:color="auto" w:fill="auto"/>
        </w:rPr>
        <w:t>三、投标文件的编制</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5E368940">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8、投标语言及计量单位</w:t>
      </w:r>
    </w:p>
    <w:p w14:paraId="6D3C4153">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sz w:val="24"/>
          <w:shd w:val="clear" w:color="auto" w:fill="auto"/>
        </w:rPr>
      </w:pPr>
      <w:r>
        <w:rPr>
          <w:rFonts w:hint="eastAsia" w:hAnsi="宋体" w:cs="宋体"/>
          <w:sz w:val="24"/>
          <w:shd w:val="clear" w:color="auto" w:fill="auto"/>
        </w:rPr>
        <w:t>8.1投标人提交的投标文件及投标人与招标人就有关投标的所有往来函件,均应以中文书写。投标人提供的支持文件和印刷的文献可以使用其他语言，但相应内容应附有中文翻译本，在解释时以中文翻译本为准。</w:t>
      </w:r>
    </w:p>
    <w:p w14:paraId="3BA30EA1">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sz w:val="24"/>
          <w:shd w:val="clear" w:color="auto" w:fill="auto"/>
        </w:rPr>
      </w:pPr>
      <w:r>
        <w:rPr>
          <w:rFonts w:hint="eastAsia" w:hAnsi="宋体" w:cs="宋体"/>
          <w:sz w:val="24"/>
          <w:shd w:val="clear" w:color="auto" w:fill="auto"/>
        </w:rPr>
        <w:t>8.2除另有规定外，投标文件使用的度量衡单位均采用中华人民共和国法定计量单位。</w:t>
      </w:r>
    </w:p>
    <w:p w14:paraId="79750B87">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9、投标文件的组成</w:t>
      </w:r>
    </w:p>
    <w:p w14:paraId="1A484078">
      <w:pPr>
        <w:pStyle w:val="20"/>
        <w:pageBreakBefore w:val="0"/>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sz w:val="24"/>
          <w:shd w:val="clear" w:color="auto" w:fill="auto"/>
        </w:rPr>
        <w:t xml:space="preserve">    9.1 投标人的投标文件至少应包括下列内容： </w:t>
      </w:r>
    </w:p>
    <w:p w14:paraId="60DDE9F9">
      <w:pPr>
        <w:pStyle w:val="20"/>
        <w:pageBreakBefore w:val="0"/>
        <w:kinsoku/>
        <w:wordWrap/>
        <w:overflowPunct/>
        <w:topLinePunct w:val="0"/>
        <w:bidi w:val="0"/>
        <w:adjustRightInd/>
        <w:snapToGrid/>
        <w:spacing w:afterAutospacing="0" w:line="240" w:lineRule="auto"/>
        <w:ind w:firstLine="720" w:firstLineChars="300"/>
        <w:textAlignment w:val="auto"/>
        <w:rPr>
          <w:rFonts w:hint="eastAsia" w:hAnsi="宋体" w:cs="宋体"/>
          <w:sz w:val="24"/>
          <w:szCs w:val="24"/>
          <w:shd w:val="clear" w:color="auto" w:fill="auto"/>
        </w:rPr>
      </w:pPr>
      <w:r>
        <w:rPr>
          <w:rFonts w:hint="eastAsia" w:hAnsi="宋体" w:cs="宋体"/>
          <w:sz w:val="24"/>
          <w:szCs w:val="24"/>
          <w:shd w:val="clear" w:color="auto" w:fill="auto"/>
        </w:rPr>
        <w:t>第一部分 商务投标文件</w:t>
      </w:r>
    </w:p>
    <w:p w14:paraId="3C65E001">
      <w:pPr>
        <w:pStyle w:val="20"/>
        <w:pageBreakBefore w:val="0"/>
        <w:kinsoku/>
        <w:wordWrap/>
        <w:overflowPunct/>
        <w:topLinePunct w:val="0"/>
        <w:bidi w:val="0"/>
        <w:adjustRightInd/>
        <w:snapToGrid/>
        <w:spacing w:afterAutospacing="0" w:line="240" w:lineRule="auto"/>
        <w:ind w:firstLine="720" w:firstLineChars="300"/>
        <w:textAlignment w:val="auto"/>
        <w:rPr>
          <w:rFonts w:hint="eastAsia" w:hAnsi="宋体" w:cs="宋体"/>
          <w:sz w:val="24"/>
          <w:szCs w:val="24"/>
          <w:shd w:val="clear" w:color="auto" w:fill="auto"/>
        </w:rPr>
      </w:pPr>
      <w:r>
        <w:rPr>
          <w:rFonts w:hint="eastAsia" w:hAnsi="宋体" w:cs="宋体"/>
          <w:sz w:val="24"/>
          <w:szCs w:val="24"/>
          <w:shd w:val="clear" w:color="auto" w:fill="auto"/>
        </w:rPr>
        <w:t>第二部分 资格审查文件</w:t>
      </w:r>
    </w:p>
    <w:p w14:paraId="2B4F6B71">
      <w:pPr>
        <w:pStyle w:val="20"/>
        <w:pageBreakBefore w:val="0"/>
        <w:kinsoku/>
        <w:wordWrap/>
        <w:overflowPunct/>
        <w:topLinePunct w:val="0"/>
        <w:bidi w:val="0"/>
        <w:adjustRightInd/>
        <w:snapToGrid/>
        <w:spacing w:afterAutospacing="0" w:line="240" w:lineRule="auto"/>
        <w:ind w:firstLine="720" w:firstLineChars="300"/>
        <w:textAlignment w:val="auto"/>
        <w:rPr>
          <w:rFonts w:hint="eastAsia" w:hAnsi="宋体" w:cs="宋体"/>
          <w:sz w:val="24"/>
          <w:szCs w:val="24"/>
          <w:shd w:val="clear" w:color="auto" w:fill="auto"/>
        </w:rPr>
      </w:pPr>
      <w:r>
        <w:rPr>
          <w:rFonts w:hint="eastAsia" w:hAnsi="宋体" w:cs="宋体"/>
          <w:sz w:val="24"/>
          <w:szCs w:val="24"/>
          <w:shd w:val="clear" w:color="auto" w:fill="auto"/>
        </w:rPr>
        <w:t>第三部分 资信技术投标文件</w:t>
      </w:r>
    </w:p>
    <w:p w14:paraId="20D9A92A">
      <w:pPr>
        <w:pStyle w:val="20"/>
        <w:pageBreakBefore w:val="0"/>
        <w:kinsoku/>
        <w:wordWrap/>
        <w:overflowPunct/>
        <w:topLinePunct w:val="0"/>
        <w:bidi w:val="0"/>
        <w:adjustRightInd/>
        <w:snapToGrid/>
        <w:spacing w:afterAutospacing="0" w:line="240" w:lineRule="auto"/>
        <w:ind w:firstLine="720" w:firstLineChars="300"/>
        <w:textAlignment w:val="auto"/>
        <w:rPr>
          <w:rFonts w:hint="eastAsia" w:hAnsi="宋体" w:cs="宋体"/>
          <w:sz w:val="24"/>
          <w:szCs w:val="24"/>
          <w:shd w:val="clear" w:color="auto" w:fill="auto"/>
        </w:rPr>
      </w:pPr>
      <w:r>
        <w:rPr>
          <w:rFonts w:hint="eastAsia" w:hAnsi="宋体" w:cs="宋体"/>
          <w:sz w:val="24"/>
          <w:szCs w:val="24"/>
          <w:shd w:val="clear" w:color="auto" w:fill="auto"/>
        </w:rPr>
        <w:t>投标文件按上述内容分别编制，装订成一册。</w:t>
      </w:r>
    </w:p>
    <w:p w14:paraId="593B854D">
      <w:pPr>
        <w:pStyle w:val="20"/>
        <w:pageBreakBefore w:val="0"/>
        <w:kinsoku/>
        <w:wordWrap/>
        <w:overflowPunct/>
        <w:topLinePunct w:val="0"/>
        <w:bidi w:val="0"/>
        <w:adjustRightInd/>
        <w:snapToGrid/>
        <w:spacing w:afterAutospacing="0" w:line="240" w:lineRule="auto"/>
        <w:ind w:firstLine="720" w:firstLineChars="300"/>
        <w:textAlignment w:val="auto"/>
        <w:rPr>
          <w:rFonts w:hint="eastAsia" w:hAnsi="宋体" w:cs="宋体"/>
          <w:sz w:val="24"/>
          <w:szCs w:val="24"/>
          <w:shd w:val="clear" w:color="auto" w:fill="auto"/>
        </w:rPr>
      </w:pPr>
      <w:r>
        <w:rPr>
          <w:rFonts w:hint="eastAsia" w:hAnsi="宋体" w:cs="宋体"/>
          <w:sz w:val="24"/>
          <w:szCs w:val="24"/>
          <w:shd w:val="clear" w:color="auto" w:fill="auto"/>
        </w:rPr>
        <w:t>9.2</w:t>
      </w:r>
      <w:r>
        <w:rPr>
          <w:rFonts w:hint="eastAsia" w:hAnsi="宋体" w:cs="宋体"/>
          <w:sz w:val="24"/>
          <w:shd w:val="clear" w:color="auto" w:fill="auto"/>
        </w:rPr>
        <w:t>投标文件份数：正本一份，副本四份，电子投标文件U盘一份，</w:t>
      </w:r>
      <w:r>
        <w:rPr>
          <w:rFonts w:hint="eastAsia" w:hAnsi="宋体" w:cs="宋体"/>
          <w:sz w:val="24"/>
          <w:szCs w:val="24"/>
          <w:shd w:val="clear" w:color="auto" w:fill="auto"/>
        </w:rPr>
        <w:t>每张光盘里的投标文件为</w:t>
      </w:r>
      <w:r>
        <w:rPr>
          <w:rFonts w:hint="eastAsia" w:hAnsi="宋体" w:cs="宋体"/>
          <w:sz w:val="24"/>
          <w:shd w:val="clear" w:color="auto" w:fill="auto"/>
        </w:rPr>
        <w:t>PDF格式</w:t>
      </w:r>
      <w:r>
        <w:rPr>
          <w:rFonts w:hint="eastAsia" w:hAnsi="宋体" w:cs="宋体"/>
          <w:sz w:val="24"/>
          <w:szCs w:val="24"/>
          <w:shd w:val="clear" w:color="auto" w:fill="auto"/>
        </w:rPr>
        <w:t>，若电子文件与书面文件之间有任何差异则以书面文件为准。</w:t>
      </w:r>
    </w:p>
    <w:p w14:paraId="5B75BB08">
      <w:pPr>
        <w:pStyle w:val="20"/>
        <w:pageBreakBefore w:val="0"/>
        <w:kinsoku/>
        <w:wordWrap/>
        <w:overflowPunct/>
        <w:topLinePunct w:val="0"/>
        <w:bidi w:val="0"/>
        <w:adjustRightInd/>
        <w:snapToGrid/>
        <w:spacing w:afterAutospacing="0" w:line="240" w:lineRule="auto"/>
        <w:textAlignment w:val="auto"/>
        <w:rPr>
          <w:rFonts w:hint="eastAsia" w:hAnsi="宋体" w:cs="宋体"/>
          <w:b/>
          <w:bCs/>
          <w:sz w:val="24"/>
          <w:szCs w:val="24"/>
          <w:shd w:val="clear" w:color="auto" w:fill="auto"/>
        </w:rPr>
      </w:pPr>
      <w:r>
        <w:rPr>
          <w:rFonts w:hint="eastAsia" w:hAnsi="宋体" w:cs="宋体"/>
          <w:b/>
          <w:bCs/>
          <w:sz w:val="24"/>
          <w:szCs w:val="24"/>
          <w:shd w:val="clear" w:color="auto" w:fill="auto"/>
        </w:rPr>
        <w:t>10、投标文件格式</w:t>
      </w:r>
    </w:p>
    <w:p w14:paraId="4E94F680">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10.1投标人应严格按照招标文件的规定表格格式编制投标文件。投标文件顺序及编号应与招标文件规定一致。</w:t>
      </w:r>
    </w:p>
    <w:p w14:paraId="43C1691D">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10.2投标文件必须采用国际标准A4纸型，书式装订，必须编制目录，需编辑页号，中间不得丢页、少页。</w:t>
      </w:r>
    </w:p>
    <w:p w14:paraId="6DEA447D">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b/>
          <w:sz w:val="24"/>
          <w:shd w:val="clear" w:color="auto" w:fill="auto"/>
        </w:rPr>
      </w:pPr>
      <w:r>
        <w:rPr>
          <w:rFonts w:hint="eastAsia" w:ascii="宋体" w:hAnsi="宋体" w:cs="宋体"/>
          <w:sz w:val="24"/>
          <w:shd w:val="clear" w:color="auto" w:fill="auto"/>
        </w:rPr>
        <w:t>10.3投标文件卷内不允许有任何金属物质，不允许有铅笔、圆珠笔、浅蓝墨水迹，文件皮不能用塑料制品装订，不含热敏物质。</w:t>
      </w:r>
    </w:p>
    <w:p w14:paraId="4F527023">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11、投标有效期</w:t>
      </w:r>
    </w:p>
    <w:p w14:paraId="28A4CAF4">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sz w:val="24"/>
          <w:shd w:val="clear" w:color="auto" w:fill="auto"/>
        </w:rPr>
      </w:pPr>
      <w:r>
        <w:rPr>
          <w:rFonts w:hint="eastAsia" w:hAnsi="宋体" w:cs="宋体"/>
          <w:sz w:val="24"/>
          <w:shd w:val="clear" w:color="auto" w:fill="auto"/>
        </w:rPr>
        <w:t xml:space="preserve">11.1本招标项目的投标有效期见前附表第10项所述，承诺投标文件的投标有效期小于前附表第10项所述的投标有效期的，将被视为非实质性投标人而予以拒绝。 </w:t>
      </w:r>
    </w:p>
    <w:p w14:paraId="550ABD1E">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sz w:val="24"/>
          <w:shd w:val="clear" w:color="auto" w:fill="auto"/>
        </w:rPr>
      </w:pPr>
      <w:r>
        <w:rPr>
          <w:rFonts w:hint="eastAsia" w:hAnsi="宋体" w:cs="宋体"/>
          <w:sz w:val="24"/>
          <w:shd w:val="clear" w:color="auto" w:fill="auto"/>
        </w:rPr>
        <w:t>11.2在原定投标有效期结束3个工作日前，如果出现特殊情况，招标人可以书面形式向投标人提出延长投标有效期的要求。投标人须以书面形式予以答复，同意延长有效期的投标人不允许修改他的投标文件。</w:t>
      </w:r>
    </w:p>
    <w:p w14:paraId="180616DF">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12、投标文件的份数和签署</w:t>
      </w:r>
    </w:p>
    <w:p w14:paraId="3CA81CDD">
      <w:pPr>
        <w:pStyle w:val="20"/>
        <w:pageBreakBefore w:val="0"/>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sz w:val="24"/>
          <w:shd w:val="clear" w:color="auto" w:fill="auto"/>
        </w:rPr>
        <w:t xml:space="preserve">    12.1 投标人按前附表第12项的规定份数，编制投标文件正本和投标文件副本，并在投标文件上明确标明“投标文件正本”和“投标文件副本”字样，一旦投标文件正本和副本如有不一致之处，以正本为准。投标文件的副本可采用正本的复印件。</w:t>
      </w:r>
    </w:p>
    <w:p w14:paraId="18681870">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12.2 投标文件正本和所有副本必须按招标文件规定格式加盖投标人公章并由其法定代表人或被授权委托人签字盖章。</w:t>
      </w:r>
    </w:p>
    <w:p w14:paraId="6C7E4578">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12.3 全套投标文件应无涂改和行间插字，对必须修改的错误，修改处应由被授权委托人或法定代表人签字。</w:t>
      </w:r>
    </w:p>
    <w:p w14:paraId="433C030E">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12.4 全套投标文件正本和所有副本必须每页加盖公章、法人章。</w:t>
      </w:r>
    </w:p>
    <w:p w14:paraId="704E10AA">
      <w:pPr>
        <w:pStyle w:val="20"/>
        <w:pageBreakBefore w:val="0"/>
        <w:kinsoku/>
        <w:wordWrap/>
        <w:overflowPunct/>
        <w:topLinePunct w:val="0"/>
        <w:bidi w:val="0"/>
        <w:adjustRightInd/>
        <w:snapToGrid/>
        <w:spacing w:afterAutospacing="0" w:line="240" w:lineRule="auto"/>
        <w:textAlignment w:val="auto"/>
        <w:rPr>
          <w:rFonts w:hint="eastAsia" w:hAnsi="宋体" w:cs="宋体"/>
          <w:sz w:val="28"/>
          <w:szCs w:val="28"/>
          <w:shd w:val="clear" w:color="auto" w:fill="auto"/>
        </w:rPr>
      </w:pPr>
      <w:r>
        <w:rPr>
          <w:rFonts w:hint="eastAsia" w:hAnsi="宋体" w:cs="宋体"/>
          <w:b/>
          <w:sz w:val="24"/>
          <w:shd w:val="clear" w:color="auto" w:fill="auto"/>
        </w:rPr>
        <w:t>13、知识产权和专利权</w:t>
      </w:r>
    </w:p>
    <w:p w14:paraId="7DE24F20">
      <w:pPr>
        <w:pageBreakBefore w:val="0"/>
        <w:tabs>
          <w:tab w:val="left" w:pos="0"/>
        </w:tabs>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13.1投标价包括所有应支付的对专利权和版权、咨询或其他知识产权而需要向其他方支付的税费。</w:t>
      </w:r>
    </w:p>
    <w:p w14:paraId="6E028B1D">
      <w:pPr>
        <w:pStyle w:val="20"/>
        <w:pageBreakBefore w:val="0"/>
        <w:kinsoku/>
        <w:wordWrap/>
        <w:overflowPunct/>
        <w:topLinePunct w:val="0"/>
        <w:bidi w:val="0"/>
        <w:adjustRightInd/>
        <w:snapToGrid/>
        <w:spacing w:afterAutospacing="0" w:line="240" w:lineRule="auto"/>
        <w:textAlignment w:val="auto"/>
        <w:rPr>
          <w:rFonts w:hint="eastAsia" w:hAnsi="宋体" w:cs="宋体"/>
          <w:sz w:val="28"/>
          <w:szCs w:val="28"/>
          <w:shd w:val="clear" w:color="auto" w:fill="auto"/>
        </w:rPr>
      </w:pPr>
      <w:r>
        <w:rPr>
          <w:rFonts w:hint="eastAsia" w:hAnsi="宋体" w:cs="宋体"/>
          <w:b/>
          <w:sz w:val="24"/>
          <w:shd w:val="clear" w:color="auto" w:fill="auto"/>
        </w:rPr>
        <w:t>14、保密</w:t>
      </w:r>
    </w:p>
    <w:p w14:paraId="729FC78D">
      <w:pPr>
        <w:pageBreakBefore w:val="0"/>
        <w:tabs>
          <w:tab w:val="left" w:pos="0"/>
        </w:tabs>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14.1由招标人向投标人提供的招标文件、详细资料和其他资料，均被视为保密资料，仅被用于它所规定的用途，除非得到招标人的同意，不能向任何第三方透露。</w:t>
      </w:r>
    </w:p>
    <w:p w14:paraId="76B75B57">
      <w:pPr>
        <w:pageBreakBefore w:val="0"/>
        <w:tabs>
          <w:tab w:val="left" w:pos="0"/>
        </w:tabs>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14.2开标完成后，应招标人要求，投标人应归还招标人认为必要的从招标人处获得的保密资料。</w:t>
      </w:r>
    </w:p>
    <w:p w14:paraId="733800D4">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p>
    <w:p w14:paraId="4684B855">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z w:val="28"/>
          <w:szCs w:val="28"/>
          <w:shd w:val="clear" w:color="auto" w:fill="auto"/>
        </w:rPr>
      </w:pPr>
      <w:bookmarkStart w:id="76" w:name="_Toc29458"/>
      <w:bookmarkStart w:id="77" w:name="_Toc27086"/>
      <w:bookmarkStart w:id="78" w:name="_Toc12520"/>
      <w:bookmarkStart w:id="79" w:name="_Toc395198155"/>
      <w:bookmarkStart w:id="80" w:name="_Toc5333"/>
      <w:bookmarkStart w:id="81" w:name="_Toc17571"/>
      <w:bookmarkStart w:id="82" w:name="_Toc19926"/>
      <w:bookmarkStart w:id="83" w:name="_Toc9652"/>
      <w:bookmarkStart w:id="84" w:name="_Toc395039556"/>
      <w:bookmarkStart w:id="85" w:name="_Toc32488"/>
      <w:bookmarkStart w:id="86" w:name="_Toc10293"/>
      <w:bookmarkStart w:id="87" w:name="_Toc334687555"/>
      <w:bookmarkStart w:id="88" w:name="_Toc21734"/>
      <w:bookmarkStart w:id="89" w:name="_Toc4367"/>
      <w:bookmarkStart w:id="90" w:name="_Toc26865882"/>
      <w:bookmarkStart w:id="91" w:name="_Toc23176"/>
      <w:bookmarkStart w:id="92" w:name="_Toc21748"/>
      <w:bookmarkStart w:id="93" w:name="_Toc10072"/>
      <w:bookmarkStart w:id="94" w:name="_Toc17012"/>
      <w:r>
        <w:rPr>
          <w:rFonts w:hint="eastAsia" w:ascii="宋体" w:hAnsi="宋体" w:cs="宋体"/>
          <w:shd w:val="clear" w:color="auto" w:fill="auto"/>
        </w:rPr>
        <w:t>五、投标文件的递交</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6CA05D55">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15、投标文件的密封与标记</w:t>
      </w:r>
    </w:p>
    <w:p w14:paraId="5F297885">
      <w:pPr>
        <w:pStyle w:val="34"/>
        <w:pageBreakBefore w:val="0"/>
        <w:kinsoku/>
        <w:wordWrap/>
        <w:overflowPunct/>
        <w:topLinePunct w:val="0"/>
        <w:bidi w:val="0"/>
        <w:adjustRightInd/>
        <w:snapToGrid/>
        <w:spacing w:beforeAutospacing="0" w:afterAutospacing="0" w:line="240" w:lineRule="auto"/>
        <w:ind w:firstLine="480" w:firstLineChars="200"/>
        <w:textAlignment w:val="auto"/>
        <w:rPr>
          <w:rFonts w:hint="eastAsia" w:cs="宋体"/>
          <w:shd w:val="clear" w:color="auto" w:fill="auto"/>
        </w:rPr>
      </w:pPr>
      <w:r>
        <w:rPr>
          <w:rFonts w:hint="eastAsia" w:cs="宋体"/>
          <w:shd w:val="clear" w:color="auto" w:fill="auto"/>
        </w:rPr>
        <w:t>15.1  投标人应将投标文件的所有正本用一个内层包封密封，所有副本用一个内层包封密封，再用一个外层包封将以上两个内包封密封在一起。在内、外层包封上均应注明项目名称、项目编号、招标人名称、投标人名称、投标人地址、被授权人姓名及联系方式、开标日期等内容；投标文件封面应注明“投标文件正本”或“投标文件副本”字样。投标文件的电子文件与投标文件正本密封在一起。包封示意图如下：</w:t>
      </w:r>
    </w:p>
    <w:tbl>
      <w:tblPr>
        <w:tblStyle w:val="40"/>
        <w:tblW w:w="0" w:type="auto"/>
        <w:tblInd w:w="1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6"/>
      </w:tblGrid>
      <w:tr w14:paraId="7ED2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trPr>
        <w:tc>
          <w:tcPr>
            <w:tcW w:w="5416" w:type="dxa"/>
          </w:tcPr>
          <w:tbl>
            <w:tblPr>
              <w:tblStyle w:val="40"/>
              <w:tblpPr w:leftFromText="180" w:rightFromText="180" w:vertAnchor="text" w:horzAnchor="page" w:tblpX="541" w:tblpY="4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tblGrid>
            <w:tr w14:paraId="29A4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1589" w:type="dxa"/>
                  <w:vAlign w:val="center"/>
                </w:tcPr>
                <w:p w14:paraId="55015CDC">
                  <w:pPr>
                    <w:pStyle w:val="34"/>
                    <w:pageBreakBefore w:val="0"/>
                    <w:kinsoku/>
                    <w:wordWrap/>
                    <w:overflowPunct/>
                    <w:topLinePunct w:val="0"/>
                    <w:bidi w:val="0"/>
                    <w:adjustRightInd/>
                    <w:snapToGrid/>
                    <w:spacing w:beforeAutospacing="0" w:afterAutospacing="0" w:line="240" w:lineRule="auto"/>
                    <w:jc w:val="center"/>
                    <w:textAlignment w:val="auto"/>
                    <w:rPr>
                      <w:rFonts w:hint="eastAsia" w:cs="宋体"/>
                      <w:shd w:val="clear" w:color="auto" w:fill="auto"/>
                    </w:rPr>
                  </w:pPr>
                  <w:r>
                    <w:rPr>
                      <w:rFonts w:hint="eastAsia" w:cs="宋体"/>
                      <w:shd w:val="clear" w:color="auto" w:fill="auto"/>
                    </w:rPr>
                    <w:t>正本</w:t>
                  </w:r>
                </w:p>
                <w:p w14:paraId="305435E5">
                  <w:pPr>
                    <w:pStyle w:val="34"/>
                    <w:pageBreakBefore w:val="0"/>
                    <w:kinsoku/>
                    <w:wordWrap/>
                    <w:overflowPunct/>
                    <w:topLinePunct w:val="0"/>
                    <w:bidi w:val="0"/>
                    <w:adjustRightInd/>
                    <w:snapToGrid/>
                    <w:spacing w:beforeAutospacing="0" w:afterAutospacing="0" w:line="240" w:lineRule="auto"/>
                    <w:jc w:val="center"/>
                    <w:textAlignment w:val="auto"/>
                    <w:rPr>
                      <w:rFonts w:hint="eastAsia" w:cs="宋体"/>
                      <w:sz w:val="21"/>
                      <w:szCs w:val="21"/>
                      <w:shd w:val="clear" w:color="auto" w:fill="auto"/>
                    </w:rPr>
                  </w:pPr>
                  <w:r>
                    <w:rPr>
                      <w:rFonts w:hint="eastAsia" w:cs="宋体"/>
                      <w:sz w:val="21"/>
                      <w:szCs w:val="21"/>
                      <w:shd w:val="clear" w:color="auto" w:fill="auto"/>
                    </w:rPr>
                    <w:t>（含投标文件的电子文件）</w:t>
                  </w:r>
                </w:p>
              </w:tc>
            </w:tr>
          </w:tbl>
          <w:p w14:paraId="222D9376">
            <w:pPr>
              <w:pageBreakBefore w:val="0"/>
              <w:kinsoku/>
              <w:wordWrap/>
              <w:overflowPunct/>
              <w:topLinePunct w:val="0"/>
              <w:bidi w:val="0"/>
              <w:adjustRightInd/>
              <w:snapToGrid/>
              <w:spacing w:afterAutospacing="0" w:line="240" w:lineRule="auto"/>
              <w:textAlignment w:val="auto"/>
              <w:rPr>
                <w:rFonts w:hint="eastAsia" w:ascii="宋体" w:hAnsi="宋体" w:cs="宋体"/>
                <w:vanish/>
                <w:shd w:val="clear" w:color="auto" w:fill="auto"/>
              </w:rPr>
            </w:pPr>
          </w:p>
          <w:tbl>
            <w:tblPr>
              <w:tblStyle w:val="40"/>
              <w:tblpPr w:leftFromText="180" w:rightFromText="180" w:vertAnchor="text" w:horzAnchor="page" w:tblpX="3059" w:tblpY="4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tblGrid>
            <w:tr w14:paraId="23DB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1589" w:type="dxa"/>
                  <w:vAlign w:val="center"/>
                </w:tcPr>
                <w:p w14:paraId="497EE31E">
                  <w:pPr>
                    <w:pStyle w:val="34"/>
                    <w:pageBreakBefore w:val="0"/>
                    <w:kinsoku/>
                    <w:wordWrap/>
                    <w:overflowPunct/>
                    <w:topLinePunct w:val="0"/>
                    <w:bidi w:val="0"/>
                    <w:adjustRightInd/>
                    <w:snapToGrid/>
                    <w:spacing w:afterAutospacing="0" w:line="240" w:lineRule="auto"/>
                    <w:jc w:val="center"/>
                    <w:textAlignment w:val="auto"/>
                    <w:rPr>
                      <w:rFonts w:hint="eastAsia" w:cs="宋体"/>
                      <w:shd w:val="clear" w:color="auto" w:fill="auto"/>
                    </w:rPr>
                  </w:pPr>
                  <w:r>
                    <w:rPr>
                      <w:rFonts w:hint="eastAsia" w:cs="宋体"/>
                      <w:shd w:val="clear" w:color="auto" w:fill="auto"/>
                    </w:rPr>
                    <w:t>副本</w:t>
                  </w:r>
                </w:p>
              </w:tc>
            </w:tr>
          </w:tbl>
          <w:p w14:paraId="444CE55B">
            <w:pPr>
              <w:pStyle w:val="34"/>
              <w:pageBreakBefore w:val="0"/>
              <w:kinsoku/>
              <w:wordWrap/>
              <w:overflowPunct/>
              <w:topLinePunct w:val="0"/>
              <w:bidi w:val="0"/>
              <w:adjustRightInd/>
              <w:snapToGrid/>
              <w:spacing w:afterAutospacing="0" w:line="240" w:lineRule="auto"/>
              <w:ind w:firstLine="480" w:firstLineChars="200"/>
              <w:textAlignment w:val="auto"/>
              <w:rPr>
                <w:rFonts w:hint="eastAsia" w:cs="宋体"/>
                <w:shd w:val="clear" w:color="auto" w:fill="auto"/>
              </w:rPr>
            </w:pPr>
          </w:p>
          <w:p w14:paraId="5507B012">
            <w:pPr>
              <w:pStyle w:val="34"/>
              <w:pageBreakBefore w:val="0"/>
              <w:kinsoku/>
              <w:wordWrap/>
              <w:overflowPunct/>
              <w:topLinePunct w:val="0"/>
              <w:bidi w:val="0"/>
              <w:adjustRightInd/>
              <w:snapToGrid/>
              <w:spacing w:afterAutospacing="0" w:line="240" w:lineRule="auto"/>
              <w:ind w:firstLine="480" w:firstLineChars="200"/>
              <w:textAlignment w:val="auto"/>
              <w:rPr>
                <w:rFonts w:hint="eastAsia" w:cs="宋体"/>
                <w:shd w:val="clear" w:color="auto" w:fill="auto"/>
              </w:rPr>
            </w:pPr>
          </w:p>
          <w:p w14:paraId="22FA7E7A">
            <w:pPr>
              <w:pStyle w:val="34"/>
              <w:pageBreakBefore w:val="0"/>
              <w:kinsoku/>
              <w:wordWrap/>
              <w:overflowPunct/>
              <w:topLinePunct w:val="0"/>
              <w:bidi w:val="0"/>
              <w:adjustRightInd/>
              <w:snapToGrid/>
              <w:spacing w:afterAutospacing="0" w:line="240" w:lineRule="auto"/>
              <w:ind w:firstLine="480" w:firstLineChars="200"/>
              <w:textAlignment w:val="auto"/>
              <w:rPr>
                <w:rFonts w:hint="eastAsia" w:cs="宋体"/>
                <w:shd w:val="clear" w:color="auto" w:fill="auto"/>
              </w:rPr>
            </w:pPr>
          </w:p>
        </w:tc>
      </w:tr>
    </w:tbl>
    <w:p w14:paraId="7B6666F8">
      <w:pPr>
        <w:pageBreakBefore w:val="0"/>
        <w:tabs>
          <w:tab w:val="left" w:pos="0"/>
        </w:tabs>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15.2投标文件如果未按上述规定进行密封和标记，招标人对投标文件的误投或提前拆封不负责任。</w:t>
      </w:r>
    </w:p>
    <w:p w14:paraId="22893740">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16、投标截止时间</w:t>
      </w:r>
    </w:p>
    <w:p w14:paraId="05194F2C">
      <w:pPr>
        <w:pStyle w:val="20"/>
        <w:pageBreakBefore w:val="0"/>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sz w:val="24"/>
          <w:shd w:val="clear" w:color="auto" w:fill="auto"/>
        </w:rPr>
        <w:t xml:space="preserve">    16.1 投标人应按前附表第13、14项所述的时间和地址将投标文件递交给招标人。</w:t>
      </w:r>
    </w:p>
    <w:p w14:paraId="36FEF1F3">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16.2出现因招标文件的修改推迟投标截止日期时，则按招标人修改通知规定的时间递交。在此情况下，招标人受投标截止时间制约的所有权利和义务均相应延长至新的截止时间。</w:t>
      </w:r>
    </w:p>
    <w:p w14:paraId="6D94BC22">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16.3招标人将拒绝在投标截止时间后收到的任何投标文件。</w:t>
      </w:r>
    </w:p>
    <w:p w14:paraId="7E0261C7">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17、投标文件的修改与撤回</w:t>
      </w:r>
    </w:p>
    <w:p w14:paraId="3C6E1231">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17.1投标人在提交投标文件后，可对其投标文件进行修改或撤销，但修改或撤销通知应以书面形式在投标截止时间之前送达招标人。且该修改材料或撤销通知须有投标人的授权代表签字。</w:t>
      </w:r>
    </w:p>
    <w:p w14:paraId="65BCC83A">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17.2投标人对投标文件修改的书面材料或撤销的通知应按第15条规定进行密封、标记，并注明“修改投标文件”或“撤销投标”字样。</w:t>
      </w:r>
    </w:p>
    <w:p w14:paraId="165A3E87">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17.3投标截止时间以后不得修改投标文件。</w:t>
      </w:r>
    </w:p>
    <w:p w14:paraId="1F1D7246">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17.4投标人不得在开标时间起至投标文件有效期期满前撤销投标文件。</w:t>
      </w:r>
    </w:p>
    <w:p w14:paraId="47B5A7DE">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hd w:val="clear" w:color="auto" w:fill="auto"/>
        </w:rPr>
      </w:pPr>
      <w:bookmarkStart w:id="95" w:name="_Toc12243"/>
      <w:bookmarkStart w:id="96" w:name="_Toc2788"/>
      <w:bookmarkStart w:id="97" w:name="_Toc6269"/>
      <w:bookmarkStart w:id="98" w:name="_Toc26865883"/>
      <w:bookmarkStart w:id="99" w:name="_Toc25652"/>
      <w:bookmarkStart w:id="100" w:name="_Toc13514"/>
      <w:bookmarkStart w:id="101" w:name="_Toc9687"/>
      <w:bookmarkStart w:id="102" w:name="_Toc29043"/>
      <w:bookmarkStart w:id="103" w:name="_Toc10919"/>
      <w:bookmarkStart w:id="104" w:name="_Toc395198156"/>
      <w:bookmarkStart w:id="105" w:name="_Toc334687556"/>
      <w:bookmarkStart w:id="106" w:name="_Toc1228"/>
      <w:bookmarkStart w:id="107" w:name="_Toc395039557"/>
      <w:bookmarkStart w:id="108" w:name="_Toc22574"/>
      <w:bookmarkStart w:id="109" w:name="_Toc26959"/>
      <w:bookmarkStart w:id="110" w:name="_Toc26252"/>
      <w:bookmarkStart w:id="111" w:name="_Toc28923"/>
      <w:bookmarkStart w:id="112" w:name="_Toc10039"/>
      <w:bookmarkStart w:id="113" w:name="_Toc5917"/>
      <w:r>
        <w:rPr>
          <w:rFonts w:hint="eastAsia" w:ascii="宋体" w:hAnsi="宋体" w:cs="宋体"/>
          <w:shd w:val="clear" w:color="auto" w:fill="auto"/>
        </w:rPr>
        <w:t>六、开标</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1EF5D195">
      <w:pPr>
        <w:pStyle w:val="20"/>
        <w:pageBreakBefore w:val="0"/>
        <w:numPr>
          <w:ilvl w:val="0"/>
          <w:numId w:val="3"/>
        </w:numPr>
        <w:tabs>
          <w:tab w:val="left" w:pos="0"/>
          <w:tab w:val="clear" w:pos="360"/>
        </w:tabs>
        <w:kinsoku/>
        <w:wordWrap/>
        <w:overflowPunct/>
        <w:topLinePunct w:val="0"/>
        <w:bidi w:val="0"/>
        <w:adjustRightInd/>
        <w:snapToGrid/>
        <w:spacing w:afterAutospacing="0" w:line="240" w:lineRule="auto"/>
        <w:textAlignment w:val="auto"/>
        <w:rPr>
          <w:rFonts w:hint="eastAsia" w:hAnsi="宋体" w:cs="宋体"/>
          <w:b/>
          <w:bCs/>
          <w:sz w:val="24"/>
          <w:shd w:val="clear" w:color="auto" w:fill="auto"/>
        </w:rPr>
      </w:pPr>
      <w:r>
        <w:rPr>
          <w:rFonts w:hint="eastAsia" w:hAnsi="宋体" w:cs="宋体"/>
          <w:b/>
          <w:bCs/>
          <w:sz w:val="24"/>
          <w:shd w:val="clear" w:color="auto" w:fill="auto"/>
        </w:rPr>
        <w:t>18、开标</w:t>
      </w:r>
    </w:p>
    <w:p w14:paraId="5776041D">
      <w:pPr>
        <w:pageBreakBefore w:val="0"/>
        <w:kinsoku/>
        <w:wordWrap/>
        <w:overflowPunct/>
        <w:topLinePunct w:val="0"/>
        <w:bidi w:val="0"/>
        <w:adjustRightInd/>
        <w:snapToGrid/>
        <w:spacing w:afterAutospacing="0" w:line="240" w:lineRule="auto"/>
        <w:ind w:firstLine="420"/>
        <w:jc w:val="left"/>
        <w:textAlignment w:val="auto"/>
        <w:rPr>
          <w:rFonts w:hint="eastAsia" w:ascii="宋体" w:hAnsi="宋体" w:cs="宋体"/>
          <w:sz w:val="24"/>
          <w:shd w:val="clear" w:color="auto" w:fill="auto"/>
        </w:rPr>
      </w:pPr>
      <w:r>
        <w:rPr>
          <w:rFonts w:hint="eastAsia" w:ascii="宋体" w:hAnsi="宋体" w:cs="宋体"/>
          <w:sz w:val="24"/>
          <w:shd w:val="clear" w:color="auto" w:fill="auto"/>
        </w:rPr>
        <w:t>18.1招标人于前附表第15项所述的时间和地点举行开标会议，开标会议由招标人主持，招标人及上级有关主管部门和所有投标人参加。</w:t>
      </w:r>
    </w:p>
    <w:p w14:paraId="6588B535">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b/>
          <w:bCs/>
          <w:sz w:val="28"/>
          <w:shd w:val="clear" w:color="auto" w:fill="auto"/>
        </w:rPr>
      </w:pPr>
      <w:r>
        <w:rPr>
          <w:rFonts w:hint="eastAsia" w:ascii="宋体" w:hAnsi="宋体" w:cs="宋体"/>
          <w:sz w:val="24"/>
          <w:shd w:val="clear" w:color="auto" w:fill="auto"/>
        </w:rPr>
        <w:t>18.2投标人的法定代表人或被授权委托人应出席开标会并签到证明其出席，投标人的法定代表人或被授权委托人未参加开标会的将被视为自动弃权。</w:t>
      </w:r>
    </w:p>
    <w:p w14:paraId="489CA8F1">
      <w:pPr>
        <w:pageBreakBefore w:val="0"/>
        <w:kinsoku/>
        <w:wordWrap/>
        <w:overflowPunct/>
        <w:topLinePunct w:val="0"/>
        <w:bidi w:val="0"/>
        <w:adjustRightInd/>
        <w:snapToGrid/>
        <w:spacing w:afterAutospacing="0" w:line="240" w:lineRule="auto"/>
        <w:ind w:firstLine="360" w:firstLineChars="150"/>
        <w:textAlignment w:val="auto"/>
        <w:rPr>
          <w:rFonts w:hint="eastAsia" w:ascii="宋体" w:hAnsi="宋体" w:cs="宋体"/>
          <w:sz w:val="24"/>
          <w:shd w:val="clear" w:color="auto" w:fill="auto"/>
        </w:rPr>
      </w:pPr>
      <w:r>
        <w:rPr>
          <w:rFonts w:hint="eastAsia" w:ascii="宋体" w:hAnsi="宋体" w:cs="宋体"/>
          <w:sz w:val="24"/>
          <w:shd w:val="clear" w:color="auto" w:fill="auto"/>
        </w:rPr>
        <w:t>18.3招标人在招标文件要求提交投标文件的截止时间前收到的投标文件，开标时都应当众予以拆封、宣读。</w:t>
      </w:r>
    </w:p>
    <w:p w14:paraId="3D09F49A">
      <w:pPr>
        <w:pageBreakBefore w:val="0"/>
        <w:kinsoku/>
        <w:wordWrap/>
        <w:overflowPunct/>
        <w:topLinePunct w:val="0"/>
        <w:bidi w:val="0"/>
        <w:adjustRightInd/>
        <w:snapToGrid/>
        <w:spacing w:afterAutospacing="0" w:line="240" w:lineRule="auto"/>
        <w:ind w:firstLine="360" w:firstLineChars="150"/>
        <w:textAlignment w:val="auto"/>
        <w:rPr>
          <w:rFonts w:hint="eastAsia" w:ascii="宋体" w:hAnsi="宋体" w:cs="宋体"/>
          <w:sz w:val="24"/>
          <w:shd w:val="clear" w:color="auto" w:fill="auto"/>
        </w:rPr>
      </w:pPr>
      <w:r>
        <w:rPr>
          <w:rFonts w:hint="eastAsia" w:ascii="宋体" w:hAnsi="宋体" w:cs="宋体"/>
          <w:sz w:val="24"/>
          <w:shd w:val="clear" w:color="auto" w:fill="auto"/>
        </w:rPr>
        <w:t>18.4按规定提交合格的撤回通知的投标文件不予开封，并退回给投标人；按本投标须知第21.7条款规定确定为无效的投标文件，不予送交评审。</w:t>
      </w:r>
    </w:p>
    <w:p w14:paraId="41F983A0">
      <w:pPr>
        <w:pageBreakBefore w:val="0"/>
        <w:kinsoku/>
        <w:wordWrap/>
        <w:overflowPunct/>
        <w:topLinePunct w:val="0"/>
        <w:bidi w:val="0"/>
        <w:adjustRightInd/>
        <w:snapToGrid/>
        <w:spacing w:afterAutospacing="0" w:line="240" w:lineRule="auto"/>
        <w:ind w:firstLine="360" w:firstLineChars="150"/>
        <w:textAlignment w:val="auto"/>
        <w:rPr>
          <w:rFonts w:hint="eastAsia" w:ascii="宋体" w:hAnsi="宋体" w:cs="宋体"/>
          <w:b/>
          <w:sz w:val="24"/>
          <w:shd w:val="clear" w:color="auto" w:fill="auto"/>
        </w:rPr>
      </w:pPr>
      <w:r>
        <w:rPr>
          <w:rFonts w:hint="eastAsia" w:ascii="宋体" w:hAnsi="宋体" w:cs="宋体"/>
          <w:sz w:val="24"/>
          <w:shd w:val="clear" w:color="auto" w:fill="auto"/>
        </w:rPr>
        <w:t>18.6招标人应做好开标会议的记录并经核查人签字后存档备查。</w:t>
      </w:r>
      <w:r>
        <w:rPr>
          <w:rFonts w:hint="eastAsia" w:ascii="宋体" w:hAnsi="宋体" w:cs="宋体"/>
          <w:b/>
          <w:sz w:val="24"/>
          <w:shd w:val="clear" w:color="auto" w:fill="auto"/>
        </w:rPr>
        <w:t xml:space="preserve">  </w:t>
      </w:r>
    </w:p>
    <w:p w14:paraId="1C3B5623">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p>
    <w:p w14:paraId="2B643B5B">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z w:val="28"/>
          <w:szCs w:val="28"/>
          <w:shd w:val="clear" w:color="auto" w:fill="auto"/>
        </w:rPr>
      </w:pPr>
      <w:bookmarkStart w:id="114" w:name="_Toc5754"/>
      <w:bookmarkStart w:id="115" w:name="_Toc25171"/>
      <w:bookmarkStart w:id="116" w:name="_Toc19529"/>
      <w:bookmarkStart w:id="117" w:name="_Toc19613"/>
      <w:bookmarkStart w:id="118" w:name="_Toc27779"/>
      <w:bookmarkStart w:id="119" w:name="_Toc32151"/>
      <w:bookmarkStart w:id="120" w:name="_Toc20736"/>
      <w:bookmarkStart w:id="121" w:name="_Toc26440"/>
      <w:bookmarkStart w:id="122" w:name="_Toc12715"/>
      <w:bookmarkStart w:id="123" w:name="_Toc395039558"/>
      <w:bookmarkStart w:id="124" w:name="_Toc11570"/>
      <w:bookmarkStart w:id="125" w:name="_Toc29817"/>
      <w:bookmarkStart w:id="126" w:name="_Toc395198157"/>
      <w:bookmarkStart w:id="127" w:name="_Toc334687557"/>
      <w:bookmarkStart w:id="128" w:name="_Toc4451"/>
      <w:bookmarkStart w:id="129" w:name="_Toc11524"/>
      <w:bookmarkStart w:id="130" w:name="_Toc8623"/>
      <w:bookmarkStart w:id="131" w:name="_Toc26865884"/>
      <w:bookmarkStart w:id="132" w:name="_Toc3660"/>
      <w:r>
        <w:rPr>
          <w:rFonts w:hint="eastAsia" w:ascii="宋体" w:hAnsi="宋体" w:cs="宋体"/>
          <w:shd w:val="clear" w:color="auto" w:fill="auto"/>
        </w:rPr>
        <w:t>七、评标</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3F45E634">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20、评标委员会的组成</w:t>
      </w:r>
    </w:p>
    <w:p w14:paraId="779D320D">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sz w:val="24"/>
          <w:shd w:val="clear" w:color="auto" w:fill="auto"/>
        </w:rPr>
      </w:pPr>
      <w:r>
        <w:rPr>
          <w:rFonts w:hint="eastAsia" w:hAnsi="宋体" w:cs="宋体"/>
          <w:sz w:val="24"/>
          <w:shd w:val="clear" w:color="auto" w:fill="auto"/>
        </w:rPr>
        <w:t>20.1在开标结束后，评标委员会按照本招标文件、《中华人民共和国招标投标法》、国家七部委12号令《评标委员会和评标方法暂行规定》等的有关要求进行评标，评标采用保密方式进行。</w:t>
      </w:r>
    </w:p>
    <w:p w14:paraId="649622C4">
      <w:pPr>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sz w:val="24"/>
          <w:szCs w:val="20"/>
          <w:shd w:val="clear" w:color="auto" w:fill="auto"/>
        </w:rPr>
      </w:pPr>
      <w:r>
        <w:rPr>
          <w:rFonts w:hint="eastAsia" w:ascii="宋体" w:hAnsi="宋体" w:cs="宋体"/>
          <w:sz w:val="24"/>
          <w:szCs w:val="20"/>
          <w:shd w:val="clear" w:color="auto" w:fill="auto"/>
        </w:rPr>
        <w:t>20.2本项目评标委会由招标人依法组建，由5人组成，其中，随机抽取的技术、经济专家不少于成员总数的三分之二。评委会对投标文件的资格审查、技术和资信三部分进行评审。评标委员会根据评议情况确定中标候选人排序并出具评标报告。评标委员会完成评标后，应当向招标人提交书面评标报告并按总得分由高到低的顺序推荐中标候选人；招标人授权评标委员会直接确定中标人的，也应当提交书面评标报告和中标候选人名单。在评标过程中，评委对废标或其他问题意见出现歧义时，应服从少数服从多数的原则，不同意见的评委以书面形式阐述自己的意见，评委应当对自己所做出的结论承担责任。</w:t>
      </w:r>
    </w:p>
    <w:p w14:paraId="6EC0B7C1">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21、评标内容的保密</w:t>
      </w:r>
    </w:p>
    <w:p w14:paraId="72565F4C">
      <w:pPr>
        <w:pStyle w:val="20"/>
        <w:pageBreakBefore w:val="0"/>
        <w:kinsoku/>
        <w:wordWrap/>
        <w:overflowPunct/>
        <w:topLinePunct w:val="0"/>
        <w:bidi w:val="0"/>
        <w:adjustRightInd/>
        <w:snapToGrid/>
        <w:spacing w:afterAutospacing="0" w:line="240" w:lineRule="auto"/>
        <w:textAlignment w:val="auto"/>
        <w:rPr>
          <w:rFonts w:hint="eastAsia" w:hAnsi="宋体" w:cs="宋体"/>
          <w:sz w:val="24"/>
          <w:shd w:val="clear" w:color="auto" w:fill="auto"/>
        </w:rPr>
      </w:pPr>
      <w:r>
        <w:rPr>
          <w:rFonts w:hint="eastAsia" w:hAnsi="宋体" w:cs="宋体"/>
          <w:sz w:val="24"/>
          <w:shd w:val="clear" w:color="auto" w:fill="auto"/>
        </w:rPr>
        <w:t xml:space="preserve">    21.1开标后，直到宣布授予中标通知书为止，凡属于审查、澄清、评价和比较投标的所有资料，有关授予合同的信息，都不应向投标人或与评标无关的其他人泄露。</w:t>
      </w:r>
    </w:p>
    <w:p w14:paraId="7692CDEF">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21.2在投标文件的审查、澄清、评价和比较以及授予合同的过程中，投标人对招标人和评标委员会成员施加影响的任何行为，都将导致取消其投标资格。</w:t>
      </w:r>
    </w:p>
    <w:p w14:paraId="78F3363E">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21.3中标人确定后，招标人不对未中标人就评标过程以及未能中标原因作出任何解释。未中标人不得向评标委员会组成人员或其他有关人员索问评标过程的情况和材料。</w:t>
      </w:r>
    </w:p>
    <w:p w14:paraId="2574E26F">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22、评标程序</w:t>
      </w:r>
    </w:p>
    <w:p w14:paraId="101F842F">
      <w:pPr>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sz w:val="24"/>
          <w:shd w:val="clear" w:color="auto" w:fill="auto"/>
        </w:rPr>
      </w:pPr>
      <w:r>
        <w:rPr>
          <w:rFonts w:hint="eastAsia" w:ascii="宋体" w:hAnsi="宋体" w:cs="宋体"/>
          <w:sz w:val="24"/>
          <w:shd w:val="clear" w:color="auto" w:fill="auto"/>
        </w:rPr>
        <w:t>22.1对投标人进行资格审查；</w:t>
      </w:r>
    </w:p>
    <w:p w14:paraId="241EB9F8">
      <w:pPr>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sz w:val="24"/>
          <w:shd w:val="clear" w:color="auto" w:fill="auto"/>
        </w:rPr>
      </w:pPr>
      <w:r>
        <w:rPr>
          <w:rFonts w:hint="eastAsia" w:ascii="宋体" w:hAnsi="宋体" w:cs="宋体"/>
          <w:sz w:val="24"/>
          <w:shd w:val="clear" w:color="auto" w:fill="auto"/>
        </w:rPr>
        <w:t>22.2对投标文件进行初步评审；</w:t>
      </w:r>
    </w:p>
    <w:p w14:paraId="49D13017">
      <w:pPr>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sz w:val="24"/>
          <w:shd w:val="clear" w:color="auto" w:fill="auto"/>
        </w:rPr>
      </w:pPr>
      <w:r>
        <w:rPr>
          <w:rFonts w:hint="eastAsia" w:ascii="宋体" w:hAnsi="宋体" w:cs="宋体"/>
          <w:sz w:val="24"/>
          <w:shd w:val="clear" w:color="auto" w:fill="auto"/>
        </w:rPr>
        <w:t>22.3商务评审；</w:t>
      </w:r>
    </w:p>
    <w:p w14:paraId="792EC9C1">
      <w:pPr>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sz w:val="24"/>
          <w:shd w:val="clear" w:color="auto" w:fill="auto"/>
        </w:rPr>
      </w:pPr>
      <w:r>
        <w:rPr>
          <w:rFonts w:hint="eastAsia" w:ascii="宋体" w:hAnsi="宋体" w:cs="宋体"/>
          <w:sz w:val="24"/>
          <w:shd w:val="clear" w:color="auto" w:fill="auto"/>
        </w:rPr>
        <w:t>22.4资信技术评审；</w:t>
      </w:r>
    </w:p>
    <w:p w14:paraId="12FEE46E">
      <w:pPr>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sz w:val="24"/>
          <w:shd w:val="clear" w:color="auto" w:fill="auto"/>
        </w:rPr>
      </w:pPr>
      <w:r>
        <w:rPr>
          <w:rFonts w:hint="eastAsia" w:ascii="宋体" w:hAnsi="宋体" w:cs="宋体"/>
          <w:sz w:val="24"/>
          <w:shd w:val="clear" w:color="auto" w:fill="auto"/>
        </w:rPr>
        <w:t>22.5汇总评审结果；</w:t>
      </w:r>
    </w:p>
    <w:p w14:paraId="578E186A">
      <w:pPr>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sz w:val="24"/>
          <w:shd w:val="clear" w:color="auto" w:fill="auto"/>
        </w:rPr>
      </w:pPr>
      <w:r>
        <w:rPr>
          <w:rFonts w:hint="eastAsia" w:ascii="宋体" w:hAnsi="宋体" w:cs="宋体"/>
          <w:sz w:val="24"/>
          <w:shd w:val="clear" w:color="auto" w:fill="auto"/>
        </w:rPr>
        <w:t>22.6编写评标报告。</w:t>
      </w:r>
    </w:p>
    <w:p w14:paraId="014B8D27">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23、投标文件的澄清</w:t>
      </w:r>
    </w:p>
    <w:p w14:paraId="4A72C132">
      <w:pPr>
        <w:pageBreakBefore w:val="0"/>
        <w:kinsoku/>
        <w:wordWrap/>
        <w:overflowPunct/>
        <w:topLinePunct w:val="0"/>
        <w:bidi w:val="0"/>
        <w:adjustRightInd/>
        <w:snapToGrid/>
        <w:spacing w:afterAutospacing="0" w:line="240" w:lineRule="auto"/>
        <w:ind w:firstLine="480" w:firstLineChars="200"/>
        <w:textAlignment w:val="auto"/>
        <w:rPr>
          <w:rFonts w:hint="eastAsia" w:ascii="宋体" w:hAnsi="宋体" w:cs="宋体"/>
          <w:sz w:val="24"/>
          <w:shd w:val="clear" w:color="auto" w:fill="auto"/>
        </w:rPr>
      </w:pPr>
      <w:r>
        <w:rPr>
          <w:rFonts w:hint="eastAsia" w:ascii="宋体" w:hAnsi="宋体" w:cs="宋体"/>
          <w:sz w:val="24"/>
          <w:shd w:val="clear" w:color="auto" w:fill="auto"/>
        </w:rPr>
        <w:t>23.1如评审委员会对投标文件有疑问，可以向投标人发出书面质疑函。投标人应对质疑函中的问题进行逐一书面解答，并由投标人授权代表签字，按照评审委员会要求的时间提交。</w:t>
      </w:r>
    </w:p>
    <w:p w14:paraId="2F6A8591">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24、评标办法</w:t>
      </w:r>
    </w:p>
    <w:p w14:paraId="2492C7EC">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sz w:val="24"/>
          <w:shd w:val="clear" w:color="auto" w:fill="auto"/>
        </w:rPr>
      </w:pPr>
      <w:r>
        <w:rPr>
          <w:rFonts w:hint="eastAsia" w:hAnsi="宋体" w:cs="宋体"/>
          <w:sz w:val="24"/>
          <w:shd w:val="clear" w:color="auto" w:fill="auto"/>
        </w:rPr>
        <w:t>详见招标文件第四章。</w:t>
      </w:r>
    </w:p>
    <w:p w14:paraId="2E0C5DB6">
      <w:pPr>
        <w:pStyle w:val="20"/>
        <w:pageBreakBefore w:val="0"/>
        <w:kinsoku/>
        <w:wordWrap/>
        <w:overflowPunct/>
        <w:topLinePunct w:val="0"/>
        <w:bidi w:val="0"/>
        <w:adjustRightInd/>
        <w:snapToGrid/>
        <w:spacing w:afterAutospacing="0" w:line="240" w:lineRule="auto"/>
        <w:ind w:firstLine="480" w:firstLineChars="200"/>
        <w:textAlignment w:val="auto"/>
        <w:rPr>
          <w:rFonts w:hint="eastAsia" w:hAnsi="宋体" w:cs="宋体"/>
          <w:sz w:val="24"/>
          <w:shd w:val="clear" w:color="auto" w:fill="auto"/>
        </w:rPr>
      </w:pPr>
    </w:p>
    <w:p w14:paraId="2B73D2B4">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z w:val="28"/>
          <w:szCs w:val="28"/>
          <w:shd w:val="clear" w:color="auto" w:fill="auto"/>
        </w:rPr>
      </w:pPr>
      <w:bookmarkStart w:id="133" w:name="_Toc395039559"/>
      <w:bookmarkStart w:id="134" w:name="_Toc8785"/>
      <w:bookmarkStart w:id="135" w:name="_Toc1960"/>
      <w:bookmarkStart w:id="136" w:name="_Toc20451"/>
      <w:bookmarkStart w:id="137" w:name="_Toc188"/>
      <w:bookmarkStart w:id="138" w:name="_Toc5269"/>
      <w:bookmarkStart w:id="139" w:name="_Toc26865885"/>
      <w:bookmarkStart w:id="140" w:name="_Toc334687558"/>
      <w:bookmarkStart w:id="141" w:name="_Toc19740"/>
      <w:bookmarkStart w:id="142" w:name="_Toc24724"/>
      <w:bookmarkStart w:id="143" w:name="_Toc20084"/>
      <w:bookmarkStart w:id="144" w:name="_Toc18273"/>
      <w:bookmarkStart w:id="145" w:name="_Toc395198158"/>
      <w:bookmarkStart w:id="146" w:name="_Toc15068"/>
      <w:bookmarkStart w:id="147" w:name="_Toc1224"/>
      <w:bookmarkStart w:id="148" w:name="_Toc9872"/>
      <w:bookmarkStart w:id="149" w:name="_Toc18621"/>
      <w:bookmarkStart w:id="150" w:name="_Toc7104"/>
      <w:bookmarkStart w:id="151" w:name="_Toc18599"/>
      <w:r>
        <w:rPr>
          <w:rFonts w:hint="eastAsia" w:ascii="宋体" w:hAnsi="宋体" w:cs="宋体"/>
          <w:shd w:val="clear" w:color="auto" w:fill="auto"/>
        </w:rPr>
        <w:t>八、定标</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15671717">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25、定标</w:t>
      </w:r>
    </w:p>
    <w:p w14:paraId="2EED7CB6">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招标人根据评标委员会提交的评标报告中推荐的中标单位候选人确定中标单位。</w:t>
      </w:r>
    </w:p>
    <w:p w14:paraId="67D62429">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26、中标通知</w:t>
      </w:r>
    </w:p>
    <w:p w14:paraId="1D363521">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26.1招标人应当自收到书面评标报告之日起3个工作日内，按中标候选人的排序依法确定预中标人，并在原招标公告发布媒体上予以公示，公示时间不得少于3个工作日。在公示期内未收到实名举报，或者预中标人没有出现法定的不能中标情形的，招标人应当自公示结束之日起3日内向预中标人发出中标通知书并确定其为中标人。</w:t>
      </w:r>
    </w:p>
    <w:p w14:paraId="43A0EC9C">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26.2中标结果在确定后，若无疑义，投标人向中标单位发出中标通知书。</w:t>
      </w:r>
    </w:p>
    <w:p w14:paraId="0FA1EA4D">
      <w:pPr>
        <w:pageBreakBefore w:val="0"/>
        <w:kinsoku/>
        <w:wordWrap/>
        <w:overflowPunct/>
        <w:topLinePunct w:val="0"/>
        <w:bidi w:val="0"/>
        <w:adjustRightInd/>
        <w:snapToGrid/>
        <w:spacing w:afterAutospacing="0" w:line="240" w:lineRule="auto"/>
        <w:ind w:firstLine="420"/>
        <w:textAlignment w:val="auto"/>
        <w:rPr>
          <w:rFonts w:hint="eastAsia" w:ascii="宋体" w:hAnsi="宋体" w:cs="宋体"/>
          <w:sz w:val="24"/>
          <w:shd w:val="clear" w:color="auto" w:fill="auto"/>
        </w:rPr>
      </w:pPr>
      <w:r>
        <w:rPr>
          <w:rFonts w:hint="eastAsia" w:ascii="宋体" w:hAnsi="宋体" w:cs="宋体"/>
          <w:sz w:val="24"/>
          <w:shd w:val="clear" w:color="auto" w:fill="auto"/>
        </w:rPr>
        <w:t>26.3《中标通知书》是合同的一个组成部分。</w:t>
      </w:r>
    </w:p>
    <w:p w14:paraId="51A64657">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hd w:val="clear" w:color="auto" w:fill="auto"/>
        </w:rPr>
      </w:pPr>
      <w:bookmarkStart w:id="152" w:name="_Toc395198159"/>
      <w:bookmarkStart w:id="153" w:name="_Toc334687559"/>
      <w:bookmarkStart w:id="154" w:name="_Toc26865886"/>
      <w:bookmarkStart w:id="155" w:name="_Toc395039560"/>
    </w:p>
    <w:p w14:paraId="72E5648C">
      <w:pPr>
        <w:pStyle w:val="4"/>
        <w:pageBreakBefore w:val="0"/>
        <w:kinsoku/>
        <w:wordWrap/>
        <w:overflowPunct/>
        <w:topLinePunct w:val="0"/>
        <w:bidi w:val="0"/>
        <w:adjustRightInd/>
        <w:snapToGrid/>
        <w:spacing w:afterAutospacing="0" w:line="240" w:lineRule="auto"/>
        <w:jc w:val="center"/>
        <w:textAlignment w:val="auto"/>
        <w:rPr>
          <w:rFonts w:hint="eastAsia" w:ascii="宋体" w:hAnsi="宋体" w:cs="宋体"/>
          <w:shd w:val="clear" w:color="auto" w:fill="auto"/>
        </w:rPr>
      </w:pPr>
      <w:bookmarkStart w:id="156" w:name="_Toc11573"/>
      <w:bookmarkStart w:id="157" w:name="_Toc311"/>
      <w:bookmarkStart w:id="158" w:name="_Toc27007"/>
      <w:bookmarkStart w:id="159" w:name="_Toc10749"/>
      <w:bookmarkStart w:id="160" w:name="_Toc30960"/>
      <w:bookmarkStart w:id="161" w:name="_Toc4028"/>
      <w:bookmarkStart w:id="162" w:name="_Toc2977"/>
      <w:bookmarkStart w:id="163" w:name="_Toc4146"/>
      <w:bookmarkStart w:id="164" w:name="_Toc2028"/>
      <w:bookmarkStart w:id="165" w:name="_Toc3609"/>
      <w:bookmarkStart w:id="166" w:name="_Toc25884"/>
      <w:bookmarkStart w:id="167" w:name="_Toc8662"/>
      <w:bookmarkStart w:id="168" w:name="_Toc2460"/>
      <w:bookmarkStart w:id="169" w:name="_Toc4012"/>
      <w:bookmarkStart w:id="170" w:name="_Toc18842"/>
      <w:r>
        <w:rPr>
          <w:rFonts w:hint="eastAsia" w:ascii="宋体" w:hAnsi="宋体" w:cs="宋体"/>
          <w:shd w:val="clear" w:color="auto" w:fill="auto"/>
        </w:rPr>
        <w:t>九、授予合同</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654F531B">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27、授予合同标准</w:t>
      </w:r>
    </w:p>
    <w:p w14:paraId="2F342394">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招标人将合同授予按规定执行、其投标文件能最大限度地满足招标文件中规定的各项综合评价标准的投标人，确定为中标的投标人必须具有实施本合同的能力和资源。</w:t>
      </w:r>
    </w:p>
    <w:p w14:paraId="7E45A666">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28、合同协议书的签署</w:t>
      </w:r>
    </w:p>
    <w:p w14:paraId="510D9BC1">
      <w:pPr>
        <w:pStyle w:val="20"/>
        <w:pageBreakBefore w:val="0"/>
        <w:kinsoku/>
        <w:wordWrap/>
        <w:overflowPunct/>
        <w:topLinePunct w:val="0"/>
        <w:bidi w:val="0"/>
        <w:adjustRightInd/>
        <w:snapToGrid/>
        <w:spacing w:afterAutospacing="0" w:line="240" w:lineRule="auto"/>
        <w:textAlignment w:val="auto"/>
        <w:rPr>
          <w:rFonts w:hint="default" w:hAnsi="宋体" w:cs="宋体"/>
          <w:sz w:val="24"/>
          <w:shd w:val="clear" w:color="auto" w:fill="auto"/>
          <w:lang w:val="en-US"/>
        </w:rPr>
      </w:pPr>
      <w:r>
        <w:rPr>
          <w:rFonts w:hint="eastAsia" w:hAnsi="宋体" w:cs="宋体"/>
          <w:sz w:val="24"/>
          <w:shd w:val="clear" w:color="auto" w:fill="auto"/>
        </w:rPr>
        <w:t xml:space="preserve">    28.1中标人应按中标通知书中规定的日期、时间和地点，由法定代表人或授权代表前往与招标人代表进行签订合同</w:t>
      </w:r>
    </w:p>
    <w:p w14:paraId="121D08F8">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r>
        <w:rPr>
          <w:rFonts w:hint="eastAsia" w:hAnsi="宋体" w:cs="宋体"/>
          <w:sz w:val="24"/>
          <w:shd w:val="clear" w:color="auto" w:fill="auto"/>
        </w:rPr>
        <w:t xml:space="preserve">28.2 在中标通知书发出后，招标人和中标单位依据招标文件、投标文件，按照有关规定签订合同。 </w:t>
      </w:r>
    </w:p>
    <w:p w14:paraId="7EEDBB00">
      <w:pPr>
        <w:pStyle w:val="20"/>
        <w:pageBreakBefore w:val="0"/>
        <w:kinsoku/>
        <w:wordWrap/>
        <w:overflowPunct/>
        <w:topLinePunct w:val="0"/>
        <w:bidi w:val="0"/>
        <w:adjustRightInd/>
        <w:snapToGrid/>
        <w:spacing w:afterAutospacing="0" w:line="240" w:lineRule="auto"/>
        <w:ind w:firstLine="480"/>
        <w:textAlignment w:val="auto"/>
        <w:rPr>
          <w:rFonts w:hint="eastAsia" w:hAnsi="宋体" w:cs="宋体"/>
          <w:sz w:val="24"/>
          <w:shd w:val="clear" w:color="auto" w:fill="auto"/>
        </w:rPr>
      </w:pPr>
    </w:p>
    <w:p w14:paraId="012BF5F3">
      <w:pPr>
        <w:pStyle w:val="20"/>
        <w:pageBreakBefore w:val="0"/>
        <w:kinsoku/>
        <w:wordWrap/>
        <w:overflowPunct/>
        <w:topLinePunct w:val="0"/>
        <w:bidi w:val="0"/>
        <w:adjustRightInd/>
        <w:snapToGrid/>
        <w:spacing w:afterAutospacing="0" w:line="240" w:lineRule="auto"/>
        <w:textAlignment w:val="auto"/>
        <w:rPr>
          <w:rFonts w:hint="eastAsia" w:hAnsi="宋体" w:cs="宋体"/>
          <w:b/>
          <w:sz w:val="24"/>
          <w:shd w:val="clear" w:color="auto" w:fill="auto"/>
        </w:rPr>
      </w:pPr>
      <w:r>
        <w:rPr>
          <w:rFonts w:hint="eastAsia" w:hAnsi="宋体" w:cs="宋体"/>
          <w:b/>
          <w:sz w:val="24"/>
          <w:shd w:val="clear" w:color="auto" w:fill="auto"/>
        </w:rPr>
        <w:t>29、其他</w:t>
      </w:r>
    </w:p>
    <w:p w14:paraId="0E872400">
      <w:pPr>
        <w:pageBreakBefore w:val="0"/>
        <w:kinsoku/>
        <w:wordWrap/>
        <w:overflowPunct/>
        <w:topLinePunct w:val="0"/>
        <w:bidi w:val="0"/>
        <w:adjustRightInd/>
        <w:snapToGrid/>
        <w:spacing w:afterAutospacing="0" w:line="240" w:lineRule="auto"/>
        <w:ind w:firstLine="540" w:firstLineChars="225"/>
        <w:textAlignment w:val="auto"/>
        <w:rPr>
          <w:rFonts w:hint="eastAsia" w:ascii="宋体" w:hAnsi="宋体" w:cs="宋体"/>
          <w:sz w:val="24"/>
          <w:shd w:val="clear" w:color="auto" w:fill="auto"/>
        </w:rPr>
      </w:pPr>
      <w:r>
        <w:rPr>
          <w:rFonts w:hint="eastAsia" w:ascii="宋体" w:hAnsi="宋体" w:cs="宋体"/>
          <w:sz w:val="24"/>
          <w:shd w:val="clear" w:color="auto" w:fill="auto"/>
        </w:rPr>
        <w:t>29.1中标人应在签订合同书后在招标人规定的时间周期内完成服务工作。</w:t>
      </w:r>
    </w:p>
    <w:p w14:paraId="717CDABB">
      <w:pPr>
        <w:pageBreakBefore w:val="0"/>
        <w:kinsoku/>
        <w:wordWrap/>
        <w:overflowPunct/>
        <w:topLinePunct w:val="0"/>
        <w:bidi w:val="0"/>
        <w:adjustRightInd/>
        <w:snapToGrid/>
        <w:spacing w:afterAutospacing="0" w:line="240" w:lineRule="auto"/>
        <w:ind w:left="1" w:firstLine="537" w:firstLineChars="224"/>
        <w:textAlignment w:val="auto"/>
        <w:rPr>
          <w:rFonts w:hint="eastAsia" w:ascii="宋体" w:hAnsi="宋体" w:cs="宋体"/>
          <w:sz w:val="24"/>
          <w:highlight w:val="none"/>
          <w:shd w:val="clear" w:color="auto" w:fill="auto"/>
        </w:rPr>
      </w:pPr>
      <w:r>
        <w:rPr>
          <w:rFonts w:hint="eastAsia" w:ascii="宋体" w:hAnsi="宋体" w:cs="宋体"/>
          <w:sz w:val="24"/>
          <w:shd w:val="clear" w:color="auto" w:fill="auto"/>
        </w:rPr>
        <w:t>29.2中标人所完成的任务和文件应符合中华人民共和国相关法律、相关专业的有关规定</w:t>
      </w:r>
      <w:r>
        <w:rPr>
          <w:rFonts w:hint="eastAsia" w:ascii="宋体" w:hAnsi="宋体" w:cs="宋体"/>
          <w:sz w:val="24"/>
          <w:highlight w:val="none"/>
          <w:shd w:val="clear" w:color="auto" w:fill="auto"/>
        </w:rPr>
        <w:t>及其他现行规范和标准的要求。</w:t>
      </w:r>
    </w:p>
    <w:p w14:paraId="5DE02F41">
      <w:pPr>
        <w:pageBreakBefore w:val="0"/>
        <w:widowControl/>
        <w:kinsoku/>
        <w:wordWrap/>
        <w:overflowPunct/>
        <w:topLinePunct w:val="0"/>
        <w:bidi w:val="0"/>
        <w:adjustRightInd/>
        <w:snapToGrid/>
        <w:spacing w:afterAutospacing="0" w:line="240" w:lineRule="auto"/>
        <w:jc w:val="left"/>
        <w:textAlignment w:val="auto"/>
        <w:rPr>
          <w:rFonts w:hint="eastAsia" w:ascii="宋体" w:hAnsi="宋体" w:cs="宋体"/>
          <w:sz w:val="24"/>
          <w:highlight w:val="none"/>
          <w:shd w:val="clear" w:color="auto" w:fill="auto"/>
          <w:lang w:val="zh-CN"/>
        </w:rPr>
      </w:pPr>
      <w:r>
        <w:rPr>
          <w:rFonts w:hint="eastAsia" w:ascii="宋体" w:hAnsi="宋体" w:cs="宋体"/>
          <w:b/>
          <w:bCs/>
          <w:sz w:val="24"/>
          <w:highlight w:val="none"/>
          <w:shd w:val="clear" w:color="auto" w:fill="auto"/>
        </w:rPr>
        <w:t>30、</w:t>
      </w:r>
      <w:r>
        <w:rPr>
          <w:rFonts w:hint="eastAsia" w:ascii="宋体" w:hAnsi="宋体" w:cs="宋体"/>
          <w:b/>
          <w:bCs/>
          <w:sz w:val="24"/>
          <w:highlight w:val="none"/>
          <w:shd w:val="clear" w:color="auto" w:fill="auto"/>
          <w:lang w:val="zh-CN"/>
        </w:rPr>
        <w:t>付款方式</w:t>
      </w:r>
    </w:p>
    <w:p w14:paraId="19DBC31F">
      <w:pPr>
        <w:pStyle w:val="20"/>
        <w:pageBreakBefore w:val="0"/>
        <w:kinsoku/>
        <w:wordWrap/>
        <w:overflowPunct/>
        <w:topLinePunct w:val="0"/>
        <w:bidi w:val="0"/>
        <w:adjustRightInd/>
        <w:snapToGrid/>
        <w:spacing w:afterAutospacing="0" w:line="240" w:lineRule="auto"/>
        <w:ind w:firstLine="720" w:firstLineChars="300"/>
        <w:textAlignment w:val="auto"/>
        <w:rPr>
          <w:rFonts w:hint="eastAsia" w:hAnsi="宋体" w:cs="宋体"/>
          <w:sz w:val="44"/>
          <w:szCs w:val="44"/>
          <w:highlight w:val="none"/>
          <w:shd w:val="clear" w:color="auto" w:fill="auto"/>
        </w:rPr>
      </w:pPr>
      <w:r>
        <w:rPr>
          <w:rFonts w:hint="eastAsia" w:ascii="宋体" w:hAnsi="宋体" w:eastAsia="宋体" w:cs="宋体"/>
          <w:sz w:val="24"/>
          <w:szCs w:val="24"/>
          <w:highlight w:val="none"/>
          <w:shd w:val="clear" w:color="auto" w:fill="auto"/>
        </w:rPr>
        <w:t>合同生效后预付合同额30%，货到再付合同额40%，安装后付20%，安装验收合格后再付7%，3%余款在质保期满后结清。（</w:t>
      </w:r>
      <w:r>
        <w:rPr>
          <w:rFonts w:hint="eastAsia" w:hAnsi="宋体" w:cs="宋体"/>
          <w:sz w:val="24"/>
          <w:szCs w:val="24"/>
          <w:highlight w:val="none"/>
          <w:shd w:val="clear" w:color="auto" w:fill="auto"/>
        </w:rPr>
        <w:t>以实际签订合同为准）</w:t>
      </w:r>
      <w:r>
        <w:rPr>
          <w:rFonts w:hint="eastAsia"/>
          <w:szCs w:val="21"/>
          <w:highlight w:val="none"/>
          <w:shd w:val="clear" w:color="auto" w:fill="auto"/>
        </w:rPr>
        <w:t>。</w:t>
      </w:r>
    </w:p>
    <w:p w14:paraId="1ED92B3E">
      <w:pPr>
        <w:pStyle w:val="20"/>
        <w:spacing w:line="360" w:lineRule="auto"/>
        <w:rPr>
          <w:rFonts w:hint="eastAsia" w:hAnsi="宋体" w:cs="宋体"/>
          <w:sz w:val="44"/>
          <w:szCs w:val="44"/>
        </w:rPr>
      </w:pPr>
    </w:p>
    <w:p w14:paraId="0C5CBF18">
      <w:pPr>
        <w:pStyle w:val="20"/>
        <w:spacing w:line="360" w:lineRule="auto"/>
        <w:rPr>
          <w:rFonts w:hint="eastAsia" w:hAnsi="宋体" w:cs="宋体"/>
          <w:sz w:val="44"/>
          <w:szCs w:val="44"/>
        </w:rPr>
      </w:pPr>
    </w:p>
    <w:p w14:paraId="5D1BBFD4">
      <w:pPr>
        <w:pStyle w:val="20"/>
        <w:spacing w:line="360" w:lineRule="auto"/>
        <w:rPr>
          <w:rFonts w:hint="eastAsia" w:hAnsi="宋体" w:cs="宋体"/>
          <w:sz w:val="44"/>
          <w:szCs w:val="44"/>
        </w:rPr>
      </w:pPr>
    </w:p>
    <w:p w14:paraId="36263870">
      <w:pPr>
        <w:pStyle w:val="20"/>
        <w:spacing w:line="360" w:lineRule="auto"/>
        <w:rPr>
          <w:rFonts w:hint="eastAsia" w:hAnsi="宋体" w:cs="宋体"/>
          <w:sz w:val="44"/>
          <w:szCs w:val="44"/>
        </w:rPr>
      </w:pPr>
    </w:p>
    <w:p w14:paraId="734FE385">
      <w:pPr>
        <w:rPr>
          <w:rFonts w:hint="eastAsia" w:ascii="宋体" w:hAnsi="宋体" w:cs="宋体"/>
          <w:sz w:val="40"/>
          <w:szCs w:val="40"/>
        </w:rPr>
      </w:pPr>
      <w:r>
        <w:rPr>
          <w:rFonts w:hint="eastAsia" w:ascii="宋体" w:hAnsi="宋体" w:cs="宋体"/>
          <w:sz w:val="40"/>
          <w:szCs w:val="40"/>
        </w:rPr>
        <w:br w:type="page"/>
      </w:r>
    </w:p>
    <w:p w14:paraId="5AD8666B">
      <w:pPr>
        <w:pStyle w:val="2"/>
        <w:ind w:left="1440" w:firstLine="402" w:firstLineChars="100"/>
        <w:jc w:val="both"/>
        <w:rPr>
          <w:rFonts w:hint="eastAsia" w:ascii="宋体" w:hAnsi="宋体" w:cs="宋体"/>
          <w:sz w:val="40"/>
          <w:szCs w:val="40"/>
        </w:rPr>
      </w:pPr>
      <w:bookmarkStart w:id="171" w:name="_Toc17330"/>
      <w:r>
        <w:rPr>
          <w:rFonts w:hint="eastAsia" w:ascii="宋体" w:hAnsi="宋体" w:cs="宋体"/>
          <w:sz w:val="40"/>
          <w:szCs w:val="40"/>
        </w:rPr>
        <w:t>第二章  合同条款及格式</w:t>
      </w:r>
      <w:bookmarkEnd w:id="171"/>
    </w:p>
    <w:p w14:paraId="7C2D5A12">
      <w:pPr>
        <w:pStyle w:val="2"/>
        <w:ind w:firstLine="1205" w:firstLineChars="300"/>
        <w:jc w:val="both"/>
        <w:rPr>
          <w:rFonts w:hint="eastAsia" w:ascii="宋体" w:hAnsi="宋体" w:cs="宋体"/>
          <w:sz w:val="40"/>
          <w:szCs w:val="40"/>
        </w:rPr>
      </w:pPr>
      <w:bookmarkStart w:id="172" w:name="_Toc14434"/>
      <w:bookmarkStart w:id="173" w:name="_Toc17851"/>
      <w:bookmarkStart w:id="174" w:name="_Toc8099"/>
      <w:bookmarkStart w:id="175" w:name="_Toc14470"/>
      <w:bookmarkStart w:id="176" w:name="_Toc18188"/>
      <w:bookmarkStart w:id="177" w:name="_Toc27105"/>
      <w:bookmarkStart w:id="178" w:name="_Toc27622"/>
      <w:bookmarkStart w:id="179" w:name="_Toc19417"/>
      <w:bookmarkStart w:id="180" w:name="_Toc8192"/>
      <w:bookmarkStart w:id="181" w:name="_Toc7987"/>
      <w:bookmarkStart w:id="182" w:name="_Toc6204"/>
      <w:bookmarkStart w:id="183" w:name="_Toc12731"/>
      <w:bookmarkStart w:id="184" w:name="_Toc19724"/>
      <w:bookmarkStart w:id="185" w:name="_Toc24880"/>
      <w:bookmarkStart w:id="186" w:name="_Toc20185"/>
      <w:r>
        <w:rPr>
          <w:rFonts w:hint="eastAsia" w:ascii="宋体" w:hAnsi="宋体" w:cs="宋体"/>
          <w:sz w:val="40"/>
          <w:szCs w:val="40"/>
        </w:rPr>
        <w:t>（具体以实际签合同版本为准）</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7BA1EC1B">
      <w:pPr>
        <w:rPr>
          <w:rFonts w:hint="eastAsia" w:ascii="宋体" w:hAnsi="宋体" w:cs="宋体"/>
          <w:sz w:val="40"/>
          <w:szCs w:val="40"/>
        </w:rPr>
      </w:pPr>
    </w:p>
    <w:p w14:paraId="054454A2">
      <w:pPr>
        <w:rPr>
          <w:rFonts w:hint="eastAsia" w:ascii="宋体" w:hAnsi="宋体" w:cs="宋体"/>
          <w:sz w:val="40"/>
          <w:szCs w:val="40"/>
        </w:rPr>
      </w:pPr>
    </w:p>
    <w:p w14:paraId="6A8C6BE3">
      <w:pPr>
        <w:rPr>
          <w:rFonts w:hint="eastAsia" w:ascii="宋体" w:hAnsi="宋体" w:cs="宋体"/>
          <w:sz w:val="40"/>
          <w:szCs w:val="40"/>
        </w:rPr>
      </w:pPr>
    </w:p>
    <w:p w14:paraId="6E16C4E9">
      <w:pPr>
        <w:rPr>
          <w:rFonts w:hint="eastAsia" w:ascii="宋体" w:hAnsi="宋体" w:cs="宋体"/>
          <w:sz w:val="40"/>
          <w:szCs w:val="40"/>
        </w:rPr>
      </w:pPr>
    </w:p>
    <w:p w14:paraId="661377DD">
      <w:pPr>
        <w:rPr>
          <w:rFonts w:hint="eastAsia" w:ascii="宋体" w:hAnsi="宋体" w:cs="宋体"/>
          <w:sz w:val="40"/>
          <w:szCs w:val="40"/>
        </w:rPr>
      </w:pPr>
    </w:p>
    <w:p w14:paraId="41119084">
      <w:pPr>
        <w:rPr>
          <w:rFonts w:hint="eastAsia" w:ascii="宋体" w:hAnsi="宋体" w:cs="宋体"/>
          <w:sz w:val="40"/>
          <w:szCs w:val="40"/>
        </w:rPr>
      </w:pPr>
    </w:p>
    <w:p w14:paraId="2BAEDF82">
      <w:pPr>
        <w:rPr>
          <w:rFonts w:hint="eastAsia" w:ascii="宋体" w:hAnsi="宋体" w:cs="宋体"/>
          <w:sz w:val="40"/>
          <w:szCs w:val="40"/>
        </w:rPr>
      </w:pPr>
    </w:p>
    <w:p w14:paraId="244E0B11">
      <w:pPr>
        <w:rPr>
          <w:rFonts w:hint="eastAsia" w:ascii="宋体" w:hAnsi="宋体" w:cs="宋体"/>
          <w:sz w:val="40"/>
          <w:szCs w:val="40"/>
        </w:rPr>
      </w:pPr>
    </w:p>
    <w:p w14:paraId="04C0D798">
      <w:pPr>
        <w:rPr>
          <w:rFonts w:hint="eastAsia" w:ascii="宋体" w:hAnsi="宋体" w:cs="宋体"/>
          <w:sz w:val="40"/>
          <w:szCs w:val="40"/>
        </w:rPr>
      </w:pPr>
    </w:p>
    <w:p w14:paraId="14F5E458">
      <w:pPr>
        <w:rPr>
          <w:rFonts w:hint="eastAsia" w:ascii="宋体" w:hAnsi="宋体" w:cs="宋体"/>
          <w:sz w:val="40"/>
          <w:szCs w:val="40"/>
        </w:rPr>
      </w:pPr>
    </w:p>
    <w:p w14:paraId="57266ADD">
      <w:pPr>
        <w:rPr>
          <w:rFonts w:hint="eastAsia" w:ascii="宋体" w:hAnsi="宋体" w:cs="宋体"/>
          <w:sz w:val="40"/>
          <w:szCs w:val="40"/>
        </w:rPr>
      </w:pPr>
    </w:p>
    <w:p w14:paraId="48E6532C">
      <w:pPr>
        <w:rPr>
          <w:rFonts w:hint="eastAsia" w:ascii="宋体" w:hAnsi="宋体" w:cs="宋体"/>
          <w:sz w:val="40"/>
          <w:szCs w:val="40"/>
        </w:rPr>
      </w:pPr>
    </w:p>
    <w:p w14:paraId="5B39985D">
      <w:pPr>
        <w:rPr>
          <w:rFonts w:hint="eastAsia" w:ascii="宋体" w:hAnsi="宋体" w:cs="宋体"/>
          <w:sz w:val="40"/>
          <w:szCs w:val="40"/>
        </w:rPr>
      </w:pPr>
    </w:p>
    <w:p w14:paraId="7BD53AD2">
      <w:pPr>
        <w:rPr>
          <w:rFonts w:hint="eastAsia" w:ascii="宋体" w:hAnsi="宋体" w:cs="宋体"/>
          <w:sz w:val="40"/>
          <w:szCs w:val="40"/>
        </w:rPr>
      </w:pPr>
    </w:p>
    <w:p w14:paraId="5B2E6979">
      <w:pPr>
        <w:rPr>
          <w:rFonts w:hint="eastAsia" w:ascii="方正小标宋简体" w:eastAsia="方正小标宋简体"/>
          <w:color w:val="000000"/>
          <w:highlight w:val="none"/>
        </w:rPr>
      </w:pPr>
      <w:r>
        <w:rPr>
          <w:rFonts w:hint="eastAsia" w:ascii="方正小标宋简体" w:eastAsia="方正小标宋简体"/>
          <w:color w:val="000000"/>
          <w:highlight w:val="none"/>
        </w:rPr>
        <w:t>工程编号：</w:t>
      </w:r>
    </w:p>
    <w:p w14:paraId="1EB775A5">
      <w:pPr>
        <w:rPr>
          <w:rFonts w:hint="eastAsia" w:ascii="方正小标宋简体" w:eastAsia="方正小标宋简体"/>
          <w:color w:val="000000"/>
          <w:highlight w:val="none"/>
        </w:rPr>
      </w:pPr>
      <w:r>
        <w:rPr>
          <w:rFonts w:hint="eastAsia" w:ascii="方正小标宋简体" w:eastAsia="方正小标宋简体"/>
          <w:color w:val="000000"/>
          <w:highlight w:val="none"/>
        </w:rPr>
        <w:t xml:space="preserve">合同编号： </w:t>
      </w:r>
    </w:p>
    <w:p w14:paraId="32A14F6A">
      <w:pPr>
        <w:rPr>
          <w:rFonts w:hint="eastAsia" w:ascii="方正小标宋简体" w:eastAsia="方正小标宋简体"/>
          <w:color w:val="000000"/>
          <w:highlight w:val="none"/>
        </w:rPr>
      </w:pPr>
    </w:p>
    <w:p w14:paraId="1148C40C">
      <w:pPr>
        <w:rPr>
          <w:rFonts w:hint="eastAsia" w:ascii="方正小标宋简体" w:eastAsia="方正小标宋简体"/>
          <w:color w:val="000000"/>
          <w:highlight w:val="none"/>
        </w:rPr>
      </w:pPr>
    </w:p>
    <w:p w14:paraId="28448036">
      <w:pPr>
        <w:spacing w:line="440" w:lineRule="exact"/>
        <w:ind w:firstLine="1540" w:firstLineChars="350"/>
        <w:rPr>
          <w:rFonts w:hint="eastAsia"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建设工程施工</w:t>
      </w:r>
      <w:r>
        <w:rPr>
          <w:rFonts w:hint="eastAsia" w:ascii="方正小标宋简体" w:eastAsia="方正小标宋简体"/>
          <w:color w:val="000000"/>
          <w:sz w:val="44"/>
          <w:szCs w:val="44"/>
          <w:highlight w:val="none"/>
          <w:lang w:eastAsia="zh-CN"/>
        </w:rPr>
        <w:t>专业</w:t>
      </w:r>
      <w:r>
        <w:rPr>
          <w:rFonts w:hint="eastAsia" w:ascii="方正小标宋简体" w:eastAsia="方正小标宋简体"/>
          <w:color w:val="000000"/>
          <w:sz w:val="44"/>
          <w:szCs w:val="44"/>
          <w:highlight w:val="none"/>
        </w:rPr>
        <w:t>分包合同</w:t>
      </w:r>
    </w:p>
    <w:p w14:paraId="4CA3A82D">
      <w:pPr>
        <w:ind w:firstLine="6380" w:firstLineChars="1450"/>
        <w:rPr>
          <w:rFonts w:hint="eastAsia" w:ascii="方正小标宋简体" w:eastAsia="方正小标宋简体"/>
          <w:color w:val="000000"/>
          <w:sz w:val="44"/>
          <w:szCs w:val="44"/>
          <w:highlight w:val="none"/>
        </w:rPr>
      </w:pPr>
    </w:p>
    <w:p w14:paraId="745D85E2">
      <w:pPr>
        <w:spacing w:line="520" w:lineRule="exact"/>
        <w:ind w:firstLine="964" w:firstLineChars="400"/>
        <w:rPr>
          <w:rFonts w:hint="eastAsia" w:ascii="仿宋" w:hAnsi="仿宋" w:eastAsia="仿宋" w:cs="仿宋"/>
          <w:b/>
          <w:bCs/>
          <w:color w:val="000000"/>
          <w:sz w:val="24"/>
          <w:highlight w:val="none"/>
        </w:rPr>
      </w:pPr>
    </w:p>
    <w:p w14:paraId="31078E0E">
      <w:pPr>
        <w:spacing w:line="520" w:lineRule="exact"/>
        <w:ind w:firstLine="964" w:firstLineChars="400"/>
        <w:rPr>
          <w:rFonts w:hint="eastAsia" w:ascii="仿宋" w:hAnsi="仿宋" w:eastAsia="仿宋" w:cs="仿宋"/>
          <w:b/>
          <w:bCs/>
          <w:color w:val="000000"/>
          <w:sz w:val="24"/>
          <w:highlight w:val="none"/>
        </w:rPr>
      </w:pPr>
    </w:p>
    <w:p w14:paraId="265F81B5">
      <w:pPr>
        <w:spacing w:line="520" w:lineRule="exact"/>
        <w:ind w:firstLine="964" w:firstLineChars="400"/>
        <w:rPr>
          <w:rFonts w:hint="eastAsia" w:ascii="仿宋" w:hAnsi="仿宋" w:eastAsia="仿宋" w:cs="仿宋"/>
          <w:b/>
          <w:bCs/>
          <w:color w:val="000000"/>
          <w:sz w:val="24"/>
          <w:highlight w:val="none"/>
        </w:rPr>
      </w:pPr>
    </w:p>
    <w:p w14:paraId="67835A34">
      <w:pPr>
        <w:spacing w:line="520" w:lineRule="exact"/>
        <w:ind w:firstLine="964" w:firstLineChars="400"/>
        <w:rPr>
          <w:rFonts w:hint="eastAsia" w:ascii="仿宋" w:hAnsi="仿宋" w:eastAsia="仿宋" w:cs="仿宋"/>
          <w:b/>
          <w:bCs/>
          <w:color w:val="000000"/>
          <w:sz w:val="24"/>
          <w:highlight w:val="none"/>
        </w:rPr>
      </w:pPr>
    </w:p>
    <w:p w14:paraId="5D6212FE">
      <w:pPr>
        <w:spacing w:line="520" w:lineRule="exact"/>
        <w:ind w:firstLine="964" w:firstLineChars="400"/>
        <w:rPr>
          <w:rFonts w:hint="eastAsia" w:ascii="仿宋" w:hAnsi="仿宋" w:eastAsia="仿宋" w:cs="仿宋"/>
          <w:b/>
          <w:bCs/>
          <w:color w:val="000000"/>
          <w:sz w:val="24"/>
          <w:highlight w:val="none"/>
          <w:u w:val="single"/>
        </w:rPr>
      </w:pPr>
      <w:r>
        <w:rPr>
          <w:rFonts w:hint="eastAsia" w:ascii="仿宋" w:hAnsi="仿宋" w:eastAsia="仿宋" w:cs="仿宋"/>
          <w:b/>
          <w:bCs/>
          <w:color w:val="000000"/>
          <w:sz w:val="24"/>
          <w:highlight w:val="none"/>
        </w:rPr>
        <w:t>承包人（全称）：</w:t>
      </w:r>
      <w:r>
        <w:rPr>
          <w:rFonts w:hint="eastAsia" w:ascii="仿宋" w:hAnsi="仿宋" w:eastAsia="仿宋" w:cs="仿宋"/>
          <w:b/>
          <w:bCs/>
          <w:color w:val="000000"/>
          <w:sz w:val="24"/>
          <w:highlight w:val="none"/>
          <w:u w:val="single"/>
        </w:rPr>
        <w:t xml:space="preserve">                                       </w:t>
      </w:r>
    </w:p>
    <w:p w14:paraId="6FE890E8">
      <w:pPr>
        <w:spacing w:line="520" w:lineRule="exact"/>
        <w:ind w:firstLine="482" w:firstLineChars="200"/>
        <w:rPr>
          <w:rFonts w:hint="eastAsia" w:ascii="仿宋" w:hAnsi="仿宋" w:eastAsia="仿宋" w:cs="仿宋"/>
          <w:b/>
          <w:bCs/>
          <w:color w:val="000000"/>
          <w:sz w:val="24"/>
          <w:highlight w:val="none"/>
          <w:u w:val="single"/>
        </w:rPr>
      </w:pPr>
    </w:p>
    <w:p w14:paraId="5913AAC4">
      <w:pPr>
        <w:ind w:firstLine="964" w:firstLineChars="400"/>
        <w:rPr>
          <w:rFonts w:hint="eastAsia" w:ascii="方正小标宋简体" w:eastAsia="方正小标宋简体"/>
          <w:b/>
          <w:bCs/>
          <w:color w:val="000000"/>
          <w:sz w:val="44"/>
          <w:szCs w:val="44"/>
          <w:highlight w:val="none"/>
        </w:rPr>
      </w:pPr>
      <w:r>
        <w:rPr>
          <w:rFonts w:hint="eastAsia" w:ascii="仿宋" w:hAnsi="仿宋" w:eastAsia="仿宋" w:cs="仿宋"/>
          <w:b/>
          <w:bCs/>
          <w:color w:val="000000"/>
          <w:sz w:val="24"/>
          <w:highlight w:val="none"/>
        </w:rPr>
        <w:t>分包人（全称）：</w:t>
      </w:r>
      <w:r>
        <w:rPr>
          <w:rFonts w:hint="eastAsia" w:ascii="仿宋" w:hAnsi="仿宋" w:eastAsia="仿宋" w:cs="仿宋"/>
          <w:b/>
          <w:bCs/>
          <w:color w:val="000000"/>
          <w:sz w:val="24"/>
          <w:highlight w:val="none"/>
          <w:u w:val="single"/>
        </w:rPr>
        <w:t xml:space="preserve">                                       </w:t>
      </w:r>
    </w:p>
    <w:p w14:paraId="278E676B">
      <w:pPr>
        <w:ind w:firstLine="6380" w:firstLineChars="1450"/>
        <w:rPr>
          <w:rFonts w:hint="eastAsia" w:ascii="方正小标宋简体" w:eastAsia="方正小标宋简体"/>
          <w:color w:val="000000"/>
          <w:sz w:val="44"/>
          <w:szCs w:val="44"/>
          <w:highlight w:val="none"/>
        </w:rPr>
      </w:pPr>
    </w:p>
    <w:p w14:paraId="15E62B23">
      <w:pPr>
        <w:ind w:firstLine="4180" w:firstLineChars="950"/>
        <w:rPr>
          <w:rFonts w:hint="eastAsia" w:ascii="方正小标宋简体" w:eastAsia="方正小标宋简体"/>
          <w:color w:val="000000"/>
          <w:sz w:val="44"/>
          <w:szCs w:val="44"/>
          <w:highlight w:val="none"/>
          <w:lang w:val="en-US" w:eastAsia="zh-CN"/>
        </w:rPr>
      </w:pPr>
    </w:p>
    <w:p w14:paraId="60201C80">
      <w:pPr>
        <w:ind w:firstLine="4180" w:firstLineChars="950"/>
        <w:rPr>
          <w:rFonts w:hint="eastAsia" w:ascii="方正小标宋简体" w:eastAsia="方正小标宋简体"/>
          <w:color w:val="000000"/>
          <w:sz w:val="44"/>
          <w:szCs w:val="44"/>
          <w:highlight w:val="none"/>
          <w:lang w:val="en-US" w:eastAsia="zh-CN"/>
        </w:rPr>
      </w:pPr>
    </w:p>
    <w:p w14:paraId="0BC69D0B">
      <w:pPr>
        <w:ind w:firstLine="4180" w:firstLineChars="950"/>
        <w:rPr>
          <w:rFonts w:hint="eastAsia" w:ascii="方正小标宋简体" w:eastAsia="方正小标宋简体"/>
          <w:color w:val="000000"/>
          <w:sz w:val="44"/>
          <w:szCs w:val="44"/>
          <w:highlight w:val="none"/>
          <w:lang w:val="en-US" w:eastAsia="zh-CN"/>
        </w:rPr>
      </w:pPr>
    </w:p>
    <w:p w14:paraId="310DDCAD">
      <w:pPr>
        <w:ind w:firstLine="3360" w:firstLineChars="1050"/>
        <w:rPr>
          <w:rFonts w:hint="eastAsia" w:ascii="方正小标宋简体" w:eastAsia="方正小标宋简体"/>
          <w:color w:val="000000"/>
          <w:sz w:val="32"/>
          <w:szCs w:val="32"/>
          <w:highlight w:val="none"/>
        </w:rPr>
      </w:pPr>
      <w:r>
        <w:rPr>
          <w:rFonts w:hint="eastAsia" w:ascii="方正小标宋简体" w:eastAsia="方正小标宋简体"/>
          <w:color w:val="000000"/>
          <w:sz w:val="32"/>
          <w:szCs w:val="32"/>
          <w:highlight w:val="none"/>
        </w:rPr>
        <w:t>二零</w:t>
      </w:r>
      <w:r>
        <w:rPr>
          <w:rFonts w:hint="eastAsia" w:ascii="方正小标宋简体" w:eastAsia="方正小标宋简体"/>
          <w:color w:val="000000"/>
          <w:sz w:val="32"/>
          <w:szCs w:val="32"/>
          <w:highlight w:val="none"/>
          <w:lang w:val="en-US" w:eastAsia="zh-CN"/>
        </w:rPr>
        <w:t>二六</w:t>
      </w:r>
      <w:r>
        <w:rPr>
          <w:rFonts w:hint="eastAsia" w:ascii="方正小标宋简体" w:eastAsia="方正小标宋简体"/>
          <w:color w:val="000000"/>
          <w:sz w:val="32"/>
          <w:szCs w:val="32"/>
          <w:highlight w:val="none"/>
        </w:rPr>
        <w:t>年</w:t>
      </w:r>
    </w:p>
    <w:p w14:paraId="6E0EC575">
      <w:pPr>
        <w:spacing w:line="400" w:lineRule="exact"/>
        <w:rPr>
          <w:rFonts w:hint="eastAsia" w:ascii="方正小标宋简体" w:eastAsia="方正小标宋简体"/>
          <w:color w:val="000000"/>
          <w:sz w:val="44"/>
          <w:szCs w:val="44"/>
          <w:highlight w:val="none"/>
          <w:lang w:val="en-US" w:eastAsia="zh-CN"/>
        </w:rPr>
        <w:sectPr>
          <w:headerReference r:id="rId9" w:type="default"/>
          <w:footerReference r:id="rId10" w:type="default"/>
          <w:footerReference r:id="rId11" w:type="even"/>
          <w:pgSz w:w="11907" w:h="16840"/>
          <w:pgMar w:top="1440" w:right="1474" w:bottom="1440" w:left="1588" w:header="851" w:footer="992" w:gutter="0"/>
          <w:cols w:space="720" w:num="1"/>
          <w:docGrid w:type="lines" w:linePitch="730" w:charSpace="0"/>
        </w:sectPr>
      </w:pPr>
    </w:p>
    <w:p w14:paraId="3273AD56">
      <w:pPr>
        <w:spacing w:line="440" w:lineRule="exact"/>
        <w:ind w:firstLine="1767" w:firstLineChars="400"/>
        <w:rPr>
          <w:rFonts w:ascii="仿宋" w:hAnsi="仿宋" w:eastAsia="仿宋" w:cs="仿宋"/>
          <w:b/>
          <w:bCs/>
          <w:color w:val="000000"/>
          <w:sz w:val="44"/>
          <w:szCs w:val="44"/>
          <w:highlight w:val="none"/>
        </w:rPr>
      </w:pPr>
      <w:r>
        <w:rPr>
          <w:rFonts w:hint="eastAsia" w:ascii="仿宋" w:hAnsi="仿宋" w:eastAsia="仿宋" w:cs="仿宋"/>
          <w:b/>
          <w:bCs/>
          <w:color w:val="000000"/>
          <w:sz w:val="44"/>
          <w:szCs w:val="44"/>
          <w:highlight w:val="none"/>
        </w:rPr>
        <w:t>建设工程施工</w:t>
      </w:r>
      <w:r>
        <w:rPr>
          <w:rFonts w:hint="eastAsia" w:ascii="仿宋" w:hAnsi="仿宋" w:eastAsia="仿宋" w:cs="仿宋"/>
          <w:b/>
          <w:bCs/>
          <w:color w:val="000000"/>
          <w:sz w:val="44"/>
          <w:szCs w:val="44"/>
          <w:highlight w:val="none"/>
          <w:lang w:val="en-US" w:eastAsia="zh-CN"/>
        </w:rPr>
        <w:t>专业</w:t>
      </w:r>
      <w:r>
        <w:rPr>
          <w:rFonts w:hint="eastAsia" w:ascii="仿宋" w:hAnsi="仿宋" w:eastAsia="仿宋" w:cs="仿宋"/>
          <w:b/>
          <w:bCs/>
          <w:color w:val="000000"/>
          <w:sz w:val="44"/>
          <w:szCs w:val="44"/>
          <w:highlight w:val="none"/>
        </w:rPr>
        <w:t xml:space="preserve">分包合同  </w:t>
      </w:r>
    </w:p>
    <w:p w14:paraId="600F9C68">
      <w:pPr>
        <w:spacing w:line="400" w:lineRule="exact"/>
        <w:ind w:firstLine="480" w:firstLineChars="200"/>
        <w:rPr>
          <w:rFonts w:ascii="仿宋" w:hAnsi="仿宋" w:eastAsia="仿宋" w:cs="仿宋"/>
          <w:color w:val="000000"/>
          <w:sz w:val="24"/>
          <w:highlight w:val="none"/>
          <w:u w:val="single"/>
        </w:rPr>
      </w:pPr>
    </w:p>
    <w:p w14:paraId="4365D2D8">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依照《中华人民共和国</w:t>
      </w:r>
      <w:r>
        <w:rPr>
          <w:rFonts w:hint="eastAsia" w:ascii="仿宋" w:hAnsi="仿宋" w:eastAsia="仿宋" w:cs="仿宋"/>
          <w:color w:val="000000"/>
          <w:sz w:val="24"/>
          <w:highlight w:val="none"/>
          <w:lang w:val="en-US" w:eastAsia="zh-CN"/>
        </w:rPr>
        <w:t>民法典</w:t>
      </w:r>
      <w:r>
        <w:rPr>
          <w:rFonts w:hint="eastAsia" w:ascii="仿宋" w:hAnsi="仿宋" w:eastAsia="仿宋" w:cs="仿宋"/>
          <w:color w:val="000000"/>
          <w:sz w:val="24"/>
          <w:highlight w:val="none"/>
        </w:rPr>
        <w:t>》、《中华人民共和国建筑法》及其他有关法律、行政法规，遵循平等、自愿、公平和诚实信用的原则，鉴于</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（以下简称“发包人”）与承包人已经签订 施工总承包合同（以下简称“总包合同”），承包人和分包人双方就分包工程施工事项经协商达成一致，订立本合同书。</w:t>
      </w:r>
    </w:p>
    <w:p w14:paraId="41918B3D">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一、分包工程概况</w:t>
      </w:r>
    </w:p>
    <w:p w14:paraId="5D3577EC">
      <w:pPr>
        <w:snapToGrid w:val="0"/>
        <w:spacing w:line="400" w:lineRule="exact"/>
        <w:ind w:firstLine="480" w:firstLineChars="200"/>
        <w:rPr>
          <w:rFonts w:ascii="仿宋" w:hAnsi="仿宋" w:eastAsia="仿宋" w:cs="仿宋"/>
          <w:color w:val="000000"/>
          <w:sz w:val="24"/>
          <w:highlight w:val="none"/>
          <w:u w:val="single"/>
        </w:rPr>
      </w:pPr>
      <w:r>
        <w:rPr>
          <w:rFonts w:hint="eastAsia" w:ascii="仿宋" w:hAnsi="仿宋" w:eastAsia="仿宋" w:cs="仿宋"/>
          <w:color w:val="000000"/>
          <w:sz w:val="24"/>
          <w:highlight w:val="none"/>
          <w:lang w:val="en-US" w:eastAsia="zh-CN"/>
        </w:rPr>
        <w:t>1、</w:t>
      </w:r>
      <w:r>
        <w:rPr>
          <w:rFonts w:hint="eastAsia" w:ascii="仿宋" w:hAnsi="仿宋" w:eastAsia="仿宋" w:cs="仿宋"/>
          <w:color w:val="000000"/>
          <w:sz w:val="24"/>
          <w:highlight w:val="none"/>
        </w:rPr>
        <w:t>工程名称：</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（简称</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分包工程</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w:t>
      </w:r>
    </w:p>
    <w:p w14:paraId="2A490195">
      <w:pPr>
        <w:snapToGrid w:val="0"/>
        <w:spacing w:line="400" w:lineRule="exact"/>
        <w:ind w:firstLine="480" w:firstLineChars="200"/>
        <w:rPr>
          <w:rFonts w:ascii="仿宋" w:hAnsi="仿宋" w:eastAsia="仿宋" w:cs="仿宋"/>
          <w:color w:val="000000"/>
          <w:szCs w:val="21"/>
          <w:highlight w:val="none"/>
        </w:rPr>
      </w:pPr>
      <w:r>
        <w:rPr>
          <w:rFonts w:hint="eastAsia" w:ascii="仿宋" w:hAnsi="仿宋" w:eastAsia="仿宋" w:cs="仿宋"/>
          <w:color w:val="000000"/>
          <w:sz w:val="24"/>
          <w:highlight w:val="none"/>
          <w:lang w:val="en-US" w:eastAsia="zh-CN"/>
        </w:rPr>
        <w:t>2、</w:t>
      </w:r>
      <w:r>
        <w:rPr>
          <w:rFonts w:hint="eastAsia" w:ascii="仿宋" w:hAnsi="仿宋" w:eastAsia="仿宋" w:cs="仿宋"/>
          <w:color w:val="000000"/>
          <w:sz w:val="24"/>
          <w:highlight w:val="none"/>
        </w:rPr>
        <w:t>工程地点：</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4284F0F7">
      <w:pPr>
        <w:snapToGrid w:val="0"/>
        <w:spacing w:line="400" w:lineRule="exact"/>
        <w:ind w:firstLine="480" w:firstLineChars="200"/>
        <w:rPr>
          <w:rFonts w:ascii="仿宋" w:hAnsi="仿宋" w:eastAsia="仿宋" w:cs="仿宋"/>
          <w:color w:val="000000"/>
          <w:szCs w:val="21"/>
          <w:highlight w:val="none"/>
        </w:rPr>
      </w:pPr>
      <w:r>
        <w:rPr>
          <w:rFonts w:hint="eastAsia" w:ascii="仿宋" w:hAnsi="仿宋" w:eastAsia="仿宋" w:cs="仿宋"/>
          <w:color w:val="000000"/>
          <w:sz w:val="24"/>
          <w:highlight w:val="none"/>
          <w:lang w:val="en-US" w:eastAsia="zh-CN"/>
        </w:rPr>
        <w:t>3、</w:t>
      </w:r>
      <w:r>
        <w:rPr>
          <w:rFonts w:hint="eastAsia" w:ascii="仿宋" w:hAnsi="仿宋" w:eastAsia="仿宋" w:cs="仿宋"/>
          <w:color w:val="000000"/>
          <w:sz w:val="24"/>
          <w:highlight w:val="none"/>
        </w:rPr>
        <w:t>工程承包范围：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31FFF34">
      <w:pPr>
        <w:snapToGrid w:val="0"/>
        <w:spacing w:line="400" w:lineRule="exact"/>
        <w:ind w:firstLine="480" w:firstLineChars="200"/>
        <w:rPr>
          <w:rFonts w:ascii="仿宋" w:hAnsi="仿宋" w:eastAsia="仿宋" w:cs="仿宋"/>
          <w:color w:val="000000"/>
          <w:szCs w:val="21"/>
          <w:highlight w:val="none"/>
        </w:rPr>
      </w:pP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62729E71">
      <w:pPr>
        <w:snapToGrid w:val="0"/>
        <w:spacing w:line="40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szCs w:val="24"/>
          <w:highlight w:val="none"/>
        </w:rPr>
        <w:t>专业分包资质情况</w:t>
      </w:r>
    </w:p>
    <w:p w14:paraId="4E000E9E">
      <w:pPr>
        <w:snapToGrid w:val="0"/>
        <w:spacing w:line="400" w:lineRule="exact"/>
        <w:ind w:firstLine="420" w:firstLineChars="200"/>
        <w:rPr>
          <w:rFonts w:ascii="仿宋" w:hAnsi="仿宋" w:eastAsia="仿宋" w:cs="仿宋"/>
          <w:color w:val="000000"/>
          <w:szCs w:val="21"/>
          <w:highlight w:val="none"/>
        </w:rPr>
      </w:pPr>
      <w:r>
        <w:rPr>
          <w:rFonts w:hint="eastAsia" w:ascii="仿宋" w:hAnsi="仿宋" w:eastAsia="仿宋" w:cs="仿宋"/>
          <w:color w:val="000000"/>
          <w:szCs w:val="21"/>
          <w:highlight w:val="none"/>
        </w:rPr>
        <w:t>资质证书号码：</w:t>
      </w:r>
      <w:r>
        <w:rPr>
          <w:rFonts w:hint="eastAsia" w:ascii="仿宋" w:hAnsi="仿宋" w:eastAsia="仿宋" w:cs="仿宋"/>
          <w:color w:val="000000"/>
          <w:szCs w:val="21"/>
          <w:highlight w:val="non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0FF2DFD7">
      <w:pPr>
        <w:snapToGrid w:val="0"/>
        <w:spacing w:line="400" w:lineRule="exact"/>
        <w:ind w:firstLine="420" w:firstLineChars="200"/>
        <w:rPr>
          <w:rFonts w:ascii="仿宋" w:hAnsi="仿宋" w:eastAsia="仿宋" w:cs="仿宋"/>
          <w:color w:val="000000"/>
          <w:szCs w:val="21"/>
          <w:highlight w:val="none"/>
        </w:rPr>
      </w:pPr>
      <w:r>
        <w:rPr>
          <w:rFonts w:hint="eastAsia" w:ascii="仿宋" w:hAnsi="仿宋" w:eastAsia="仿宋" w:cs="仿宋"/>
          <w:color w:val="000000"/>
          <w:szCs w:val="21"/>
          <w:highlight w:val="none"/>
        </w:rPr>
        <w:t>发证机关：</w:t>
      </w:r>
      <w:r>
        <w:rPr>
          <w:rFonts w:hint="eastAsia" w:ascii="仿宋" w:hAnsi="仿宋" w:eastAsia="仿宋" w:cs="仿宋"/>
          <w:color w:val="000000"/>
          <w:szCs w:val="21"/>
          <w:highlight w:val="non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6824BCA6">
      <w:pPr>
        <w:snapToGrid w:val="0"/>
        <w:spacing w:line="400" w:lineRule="exact"/>
        <w:ind w:firstLine="420" w:firstLineChars="200"/>
        <w:rPr>
          <w:rFonts w:ascii="仿宋" w:hAnsi="仿宋" w:eastAsia="仿宋" w:cs="仿宋"/>
          <w:color w:val="000000"/>
          <w:szCs w:val="21"/>
          <w:highlight w:val="none"/>
        </w:rPr>
      </w:pPr>
      <w:r>
        <w:rPr>
          <w:rFonts w:hint="eastAsia" w:ascii="仿宋" w:hAnsi="仿宋" w:eastAsia="仿宋" w:cs="仿宋"/>
          <w:color w:val="000000"/>
          <w:szCs w:val="21"/>
          <w:highlight w:val="none"/>
        </w:rPr>
        <w:t>资质专业及等级：</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650A3595">
      <w:pPr>
        <w:snapToGrid w:val="0"/>
        <w:spacing w:line="400" w:lineRule="exact"/>
        <w:ind w:firstLine="420" w:firstLineChars="200"/>
        <w:rPr>
          <w:rFonts w:ascii="仿宋" w:hAnsi="仿宋" w:eastAsia="仿宋" w:cs="仿宋"/>
          <w:color w:val="000000"/>
          <w:szCs w:val="21"/>
          <w:highlight w:val="none"/>
        </w:rPr>
      </w:pPr>
      <w:r>
        <w:rPr>
          <w:rFonts w:hint="eastAsia" w:ascii="仿宋" w:hAnsi="仿宋" w:eastAsia="仿宋" w:cs="仿宋"/>
          <w:color w:val="000000"/>
          <w:szCs w:val="21"/>
          <w:highlight w:val="none"/>
        </w:rPr>
        <w:t>复审时间及有效期：</w:t>
      </w:r>
      <w:r>
        <w:rPr>
          <w:rFonts w:hint="eastAsia" w:ascii="仿宋" w:hAnsi="仿宋" w:eastAsia="仿宋" w:cs="仿宋"/>
          <w:color w:val="000000"/>
          <w:sz w:val="24"/>
          <w:highlight w:val="none"/>
          <w:u w:val="single"/>
        </w:rPr>
        <w:t xml:space="preserve">                                                </w:t>
      </w:r>
    </w:p>
    <w:p w14:paraId="6F706D20">
      <w:pPr>
        <w:numPr>
          <w:ilvl w:val="0"/>
          <w:numId w:val="4"/>
        </w:numPr>
        <w:spacing w:line="400" w:lineRule="exact"/>
        <w:ind w:firstLine="482" w:firstLineChars="200"/>
        <w:rPr>
          <w:rFonts w:hint="eastAsia" w:ascii="仿宋" w:hAnsi="仿宋" w:eastAsia="仿宋" w:cs="仿宋"/>
          <w:color w:val="000000"/>
          <w:sz w:val="24"/>
          <w:highlight w:val="none"/>
        </w:rPr>
      </w:pPr>
      <w:r>
        <w:rPr>
          <w:rFonts w:hint="eastAsia" w:ascii="仿宋" w:hAnsi="仿宋" w:eastAsia="仿宋" w:cs="仿宋"/>
          <w:b/>
          <w:color w:val="000000"/>
          <w:sz w:val="24"/>
          <w:highlight w:val="none"/>
        </w:rPr>
        <w:t>合同总价款</w:t>
      </w:r>
    </w:p>
    <w:p w14:paraId="4BDE7DAE">
      <w:pPr>
        <w:spacing w:line="400" w:lineRule="exact"/>
        <w:ind w:firstLine="480" w:firstLineChars="200"/>
        <w:rPr>
          <w:rFonts w:hint="eastAsia" w:ascii="仿宋" w:hAnsi="仿宋" w:eastAsia="仿宋" w:cs="仿宋"/>
          <w:color w:val="000000"/>
          <w:sz w:val="24"/>
          <w:highlight w:val="none"/>
          <w:u w:val="single"/>
          <w:lang w:val="en-US" w:eastAsia="zh-CN"/>
        </w:rPr>
      </w:pPr>
      <w:r>
        <w:rPr>
          <w:rFonts w:hint="eastAsia" w:ascii="仿宋" w:hAnsi="仿宋" w:eastAsia="仿宋" w:cs="仿宋"/>
          <w:color w:val="000000"/>
          <w:sz w:val="24"/>
          <w:highlight w:val="none"/>
          <w:lang w:val="en-US" w:eastAsia="zh-CN"/>
        </w:rPr>
        <w:t>不含税</w:t>
      </w:r>
      <w:r>
        <w:rPr>
          <w:rFonts w:hint="eastAsia" w:ascii="仿宋" w:hAnsi="仿宋" w:eastAsia="仿宋" w:cs="仿宋"/>
          <w:color w:val="000000"/>
          <w:sz w:val="24"/>
          <w:highlight w:val="none"/>
        </w:rPr>
        <w:t>金额：</w:t>
      </w:r>
      <w:r>
        <w:rPr>
          <w:rFonts w:hint="eastAsia" w:ascii="仿宋" w:hAnsi="仿宋" w:eastAsia="仿宋" w:cs="仿宋"/>
          <w:color w:val="000000"/>
          <w:sz w:val="24"/>
          <w:highlight w:val="none"/>
          <w:u w:val="single"/>
          <w:lang w:val="en-US" w:eastAsia="zh-CN"/>
        </w:rPr>
        <w:t xml:space="preserve">                                                         </w:t>
      </w:r>
    </w:p>
    <w:p w14:paraId="2CDF8863">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大写(人民币</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lang w:eastAsia="zh-CN"/>
        </w:rPr>
        <w:t>：</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元)</w:t>
      </w:r>
      <w:r>
        <w:rPr>
          <w:rFonts w:hint="eastAsia" w:ascii="仿宋" w:hAnsi="仿宋" w:eastAsia="仿宋" w:cs="仿宋"/>
          <w:color w:val="000000"/>
          <w:sz w:val="24"/>
          <w:highlight w:val="none"/>
          <w:lang w:eastAsia="zh-CN"/>
        </w:rPr>
        <w:t>；</w:t>
      </w:r>
    </w:p>
    <w:p w14:paraId="4C5A59CE">
      <w:pPr>
        <w:numPr>
          <w:ilvl w:val="0"/>
          <w:numId w:val="0"/>
        </w:numPr>
        <w:spacing w:line="400" w:lineRule="exact"/>
        <w:rPr>
          <w:rFonts w:hint="eastAsia" w:ascii="仿宋" w:hAnsi="仿宋" w:eastAsia="仿宋" w:cs="仿宋"/>
          <w:color w:val="000000"/>
          <w:sz w:val="24"/>
          <w:highlight w:val="none"/>
        </w:rPr>
      </w:pPr>
      <w:r>
        <w:rPr>
          <w:rFonts w:hint="eastAsia" w:ascii="仿宋" w:hAnsi="仿宋" w:eastAsia="仿宋" w:cs="仿宋"/>
          <w:color w:val="000000"/>
          <w:sz w:val="24"/>
          <w:highlight w:val="none"/>
        </w:rPr>
        <w:t xml:space="preserve">      小写(￥)</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 xml:space="preserve"> 元</w:t>
      </w:r>
    </w:p>
    <w:p w14:paraId="185BC6C4">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lang w:val="en-US" w:eastAsia="zh-CN"/>
        </w:rPr>
        <w:t>含税</w:t>
      </w:r>
      <w:r>
        <w:rPr>
          <w:rFonts w:hint="eastAsia" w:ascii="仿宋" w:hAnsi="仿宋" w:eastAsia="仿宋" w:cs="仿宋"/>
          <w:color w:val="000000"/>
          <w:sz w:val="24"/>
          <w:highlight w:val="none"/>
        </w:rPr>
        <w:t>金额：大写(人民币)</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元</w:t>
      </w:r>
      <w:r>
        <w:rPr>
          <w:rFonts w:hint="eastAsia" w:ascii="仿宋" w:hAnsi="仿宋" w:eastAsia="仿宋" w:cs="仿宋"/>
          <w:color w:val="000000"/>
          <w:sz w:val="24"/>
          <w:highlight w:val="none"/>
          <w:lang w:eastAsia="zh-CN"/>
        </w:rPr>
        <w:t>；</w:t>
      </w:r>
    </w:p>
    <w:p w14:paraId="572A711D">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小写(￥)</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 xml:space="preserve"> 元。</w:t>
      </w:r>
    </w:p>
    <w:p w14:paraId="5492301E">
      <w:pPr>
        <w:spacing w:line="400" w:lineRule="exact"/>
        <w:ind w:firstLine="482" w:firstLineChars="200"/>
        <w:rPr>
          <w:rFonts w:ascii="仿宋" w:hAnsi="仿宋" w:eastAsia="仿宋" w:cs="仿宋"/>
          <w:color w:val="000000"/>
          <w:sz w:val="24"/>
          <w:highlight w:val="none"/>
        </w:rPr>
      </w:pPr>
      <w:r>
        <w:rPr>
          <w:rFonts w:hint="eastAsia" w:ascii="仿宋" w:hAnsi="仿宋" w:eastAsia="仿宋" w:cs="仿宋"/>
          <w:b/>
          <w:color w:val="000000"/>
          <w:sz w:val="24"/>
          <w:highlight w:val="none"/>
        </w:rPr>
        <w:t>三、工期</w:t>
      </w:r>
    </w:p>
    <w:p w14:paraId="37C289E4">
      <w:pPr>
        <w:spacing w:line="400" w:lineRule="exact"/>
        <w:ind w:firstLine="480" w:firstLineChars="200"/>
        <w:rPr>
          <w:rFonts w:ascii="仿宋" w:hAnsi="仿宋" w:eastAsia="仿宋" w:cs="仿宋"/>
          <w:color w:val="000000"/>
          <w:sz w:val="24"/>
          <w:highlight w:val="none"/>
          <w:u w:val="single"/>
        </w:rPr>
      </w:pPr>
      <w:r>
        <w:rPr>
          <w:rFonts w:hint="eastAsia" w:ascii="仿宋" w:hAnsi="仿宋" w:eastAsia="仿宋" w:cs="仿宋"/>
          <w:color w:val="000000"/>
          <w:sz w:val="24"/>
          <w:highlight w:val="none"/>
        </w:rPr>
        <w:t>开工日期：本分包工程定于</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 xml:space="preserve">日开工；  </w:t>
      </w:r>
    </w:p>
    <w:p w14:paraId="3DD5CF45">
      <w:pPr>
        <w:spacing w:line="400" w:lineRule="exact"/>
        <w:ind w:firstLine="480" w:firstLineChars="200"/>
        <w:rPr>
          <w:rFonts w:ascii="仿宋" w:hAnsi="仿宋" w:eastAsia="仿宋" w:cs="仿宋"/>
          <w:color w:val="000000"/>
          <w:sz w:val="24"/>
          <w:highlight w:val="none"/>
          <w:u w:val="single"/>
        </w:rPr>
      </w:pPr>
      <w:r>
        <w:rPr>
          <w:rFonts w:hint="eastAsia" w:ascii="仿宋" w:hAnsi="仿宋" w:eastAsia="仿宋" w:cs="仿宋"/>
          <w:color w:val="000000"/>
          <w:sz w:val="24"/>
          <w:highlight w:val="none"/>
        </w:rPr>
        <w:t>竣工日期：本分包工程定于</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rPr>
        <w:t>日竣工并</w:t>
      </w:r>
      <w:r>
        <w:rPr>
          <w:rFonts w:hint="eastAsia" w:ascii="仿宋" w:hAnsi="仿宋" w:eastAsia="仿宋" w:cs="仿宋"/>
          <w:color w:val="000000"/>
          <w:sz w:val="24"/>
          <w:highlight w:val="none"/>
          <w:lang w:val="en-US"/>
        </w:rPr>
        <w:t>由</w:t>
      </w:r>
      <w:r>
        <w:rPr>
          <w:rFonts w:hint="eastAsia" w:ascii="仿宋" w:hAnsi="仿宋" w:eastAsia="仿宋" w:cs="仿宋"/>
          <w:color w:val="000000"/>
          <w:sz w:val="24"/>
          <w:highlight w:val="none"/>
        </w:rPr>
        <w:t>承包人验收合格；</w:t>
      </w:r>
    </w:p>
    <w:p w14:paraId="31BD131C">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合同工期总日历天数为</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天。</w:t>
      </w:r>
    </w:p>
    <w:p w14:paraId="243724A0">
      <w:pPr>
        <w:spacing w:line="400" w:lineRule="exact"/>
        <w:ind w:firstLine="480" w:firstLineChars="200"/>
        <w:rPr>
          <w:rFonts w:ascii="仿宋" w:hAnsi="仿宋" w:eastAsia="仿宋" w:cs="仿宋"/>
          <w:color w:val="000000"/>
          <w:sz w:val="24"/>
          <w:highlight w:val="none"/>
        </w:rPr>
      </w:pPr>
      <w:bookmarkStart w:id="187" w:name="OLE_LINK1"/>
      <w:r>
        <w:rPr>
          <w:rFonts w:hint="eastAsia" w:ascii="仿宋" w:hAnsi="仿宋" w:eastAsia="仿宋" w:cs="仿宋"/>
          <w:color w:val="000000"/>
          <w:sz w:val="24"/>
          <w:highlight w:val="none"/>
        </w:rPr>
        <w:t>承包人以书面方式另行通知的开工日期与上述约定日期不一致的，</w:t>
      </w:r>
      <w:bookmarkStart w:id="188" w:name="OLE_LINK2"/>
      <w:r>
        <w:rPr>
          <w:rFonts w:hint="eastAsia" w:ascii="仿宋" w:hAnsi="仿宋" w:eastAsia="仿宋" w:cs="仿宋"/>
          <w:color w:val="000000"/>
          <w:sz w:val="24"/>
          <w:highlight w:val="none"/>
        </w:rPr>
        <w:t>以承包人通知日期为准，</w:t>
      </w:r>
      <w:bookmarkEnd w:id="188"/>
      <w:r>
        <w:rPr>
          <w:rFonts w:hint="eastAsia" w:ascii="仿宋" w:hAnsi="仿宋" w:eastAsia="仿宋" w:cs="仿宋"/>
          <w:color w:val="000000"/>
          <w:sz w:val="24"/>
          <w:highlight w:val="none"/>
        </w:rPr>
        <w:t>分包人承诺按时进场施工且不要求任何形式补偿。同时，开工日期调整的，竣工日期相应调整，工期总日历天数不变。</w:t>
      </w:r>
      <w:bookmarkEnd w:id="187"/>
    </w:p>
    <w:p w14:paraId="128BB9C2">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四、图纸</w:t>
      </w:r>
    </w:p>
    <w:p w14:paraId="61D714FC">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1、承包人向分包人提供图纸的日期：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0BAD0752">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   承包人向分包人提供图纸的套数：</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w:t>
      </w:r>
    </w:p>
    <w:p w14:paraId="6B76923F">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2、承包人委托分包人进行深化施工图设计的委托范围及费用承担</w:t>
      </w:r>
      <w:r>
        <w:rPr>
          <w:rFonts w:hint="eastAsia" w:ascii="仿宋" w:hAnsi="仿宋" w:eastAsia="仿宋" w:cs="仿宋"/>
          <w:color w:val="000000"/>
          <w:sz w:val="24"/>
          <w:highlight w:val="none"/>
          <w:lang w:eastAsia="zh-CN"/>
        </w:rPr>
        <w:t>：</w:t>
      </w:r>
    </w:p>
    <w:p w14:paraId="2152F6F4">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E83F3F6">
      <w:pPr>
        <w:spacing w:line="400" w:lineRule="exact"/>
        <w:ind w:firstLine="480" w:firstLineChars="200"/>
        <w:rPr>
          <w:rFonts w:ascii="仿宋" w:hAnsi="仿宋" w:eastAsia="仿宋" w:cs="仿宋"/>
          <w:color w:val="000000"/>
          <w:sz w:val="24"/>
          <w:highlight w:val="none"/>
          <w:u w:val="single"/>
        </w:rPr>
      </w:pPr>
      <w:r>
        <w:rPr>
          <w:rFonts w:hint="eastAsia" w:ascii="仿宋" w:hAnsi="仿宋" w:eastAsia="仿宋" w:cs="仿宋"/>
          <w:color w:val="000000"/>
          <w:sz w:val="24"/>
          <w:highlight w:val="none"/>
        </w:rPr>
        <w:t>3、复制、重新绘制、翻译、购买标准图纸的责任和费用承担：</w:t>
      </w:r>
    </w:p>
    <w:p w14:paraId="022C6BEE">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E8C1B9E">
      <w:pPr>
        <w:numPr>
          <w:ilvl w:val="0"/>
          <w:numId w:val="5"/>
        </w:num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关于使用国外图纸的要求及费用承担：</w:t>
      </w:r>
    </w:p>
    <w:p w14:paraId="5FBB3656">
      <w:pPr>
        <w:numPr>
          <w:ilvl w:val="0"/>
          <w:numId w:val="0"/>
        </w:numPr>
        <w:spacing w:line="400" w:lineRule="exact"/>
        <w:ind w:firstLine="0" w:firstLineChars="0"/>
        <w:rPr>
          <w:rFonts w:hint="eastAsia" w:ascii="仿宋" w:hAnsi="仿宋" w:eastAsia="仿宋" w:cs="仿宋"/>
          <w:color w:val="000000"/>
          <w:sz w:val="24"/>
          <w:highlight w:val="none"/>
        </w:rPr>
      </w:pPr>
      <w:r>
        <w:rPr>
          <w:rFonts w:hint="default" w:ascii="仿宋" w:hAnsi="仿宋" w:eastAsia="仿宋" w:cs="仿宋"/>
          <w:color w:val="000000"/>
          <w:sz w:val="24"/>
          <w:highlight w:val="none"/>
          <w:u w:val="none"/>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33C9B996">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五、双方一般权利和义务</w:t>
      </w:r>
    </w:p>
    <w:p w14:paraId="27E0AB31">
      <w:pPr>
        <w:spacing w:line="400" w:lineRule="exact"/>
        <w:ind w:firstLine="482" w:firstLineChars="200"/>
        <w:rPr>
          <w:rFonts w:ascii="仿宋" w:hAnsi="仿宋" w:eastAsia="仿宋" w:cs="仿宋"/>
          <w:b/>
          <w:bCs/>
          <w:color w:val="000000"/>
          <w:sz w:val="24"/>
          <w:highlight w:val="none"/>
        </w:rPr>
      </w:pPr>
      <w:r>
        <w:rPr>
          <w:rFonts w:hint="eastAsia" w:ascii="仿宋" w:hAnsi="仿宋" w:eastAsia="仿宋" w:cs="仿宋"/>
          <w:b/>
          <w:bCs/>
          <w:color w:val="000000"/>
          <w:sz w:val="24"/>
          <w:highlight w:val="none"/>
        </w:rPr>
        <w:t>1、承包人项目负责人</w:t>
      </w:r>
    </w:p>
    <w:p w14:paraId="0BCFFB0A">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姓名：</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职称：</w:t>
      </w:r>
      <w:r>
        <w:rPr>
          <w:rFonts w:hint="eastAsia" w:ascii="仿宋" w:hAnsi="仿宋" w:eastAsia="仿宋" w:cs="仿宋"/>
          <w:color w:val="000000"/>
          <w:sz w:val="24"/>
          <w:highlight w:val="none"/>
          <w:u w:val="single"/>
        </w:rPr>
        <w:t xml:space="preserve">         </w:t>
      </w:r>
      <w:r>
        <w:rPr>
          <w:rFonts w:hint="eastAsia" w:ascii="仿宋" w:hAnsi="仿宋" w:eastAsia="仿宋" w:cs="仿宋"/>
          <w:bCs/>
          <w:color w:val="000000"/>
          <w:sz w:val="24"/>
          <w:highlight w:val="none"/>
        </w:rPr>
        <w:t>（任命书作为本合同书附件）。</w:t>
      </w:r>
    </w:p>
    <w:p w14:paraId="7BB57A9F">
      <w:pPr>
        <w:spacing w:line="400" w:lineRule="exact"/>
        <w:ind w:firstLine="482" w:firstLineChars="200"/>
        <w:rPr>
          <w:rFonts w:ascii="仿宋" w:hAnsi="仿宋" w:eastAsia="仿宋" w:cs="仿宋"/>
          <w:b/>
          <w:bCs/>
          <w:color w:val="000000"/>
          <w:sz w:val="24"/>
          <w:highlight w:val="none"/>
        </w:rPr>
      </w:pPr>
      <w:r>
        <w:rPr>
          <w:rFonts w:hint="eastAsia" w:ascii="仿宋" w:hAnsi="仿宋" w:eastAsia="仿宋" w:cs="仿宋"/>
          <w:b/>
          <w:bCs/>
          <w:color w:val="000000"/>
          <w:sz w:val="24"/>
          <w:highlight w:val="none"/>
        </w:rPr>
        <w:t>2、分包人项目负责人</w:t>
      </w:r>
    </w:p>
    <w:p w14:paraId="53F86928">
      <w:pPr>
        <w:spacing w:line="40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color w:val="000000"/>
          <w:sz w:val="24"/>
          <w:highlight w:val="none"/>
        </w:rPr>
        <w:t>姓名：</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职称</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w:t>
      </w:r>
      <w:r>
        <w:rPr>
          <w:rFonts w:hint="eastAsia" w:ascii="仿宋" w:hAnsi="仿宋" w:eastAsia="仿宋" w:cs="仿宋"/>
          <w:bCs/>
          <w:color w:val="000000"/>
          <w:sz w:val="24"/>
          <w:highlight w:val="none"/>
        </w:rPr>
        <w:t>（</w:t>
      </w:r>
      <w:r>
        <w:rPr>
          <w:rFonts w:hint="eastAsia" w:ascii="仿宋" w:hAnsi="仿宋" w:eastAsia="仿宋" w:cs="仿宋"/>
          <w:bCs/>
          <w:color w:val="000000"/>
          <w:sz w:val="24"/>
          <w:highlight w:val="none"/>
          <w:lang w:eastAsia="zh-CN"/>
        </w:rPr>
        <w:t>《</w:t>
      </w:r>
      <w:r>
        <w:rPr>
          <w:rFonts w:hint="eastAsia" w:ascii="仿宋" w:hAnsi="仿宋" w:eastAsia="仿宋" w:cs="仿宋"/>
          <w:bCs/>
          <w:color w:val="000000"/>
          <w:sz w:val="24"/>
          <w:highlight w:val="none"/>
          <w:lang w:val="en-US" w:eastAsia="zh-CN"/>
        </w:rPr>
        <w:t>劳动合同》复印页、连续6个月以上社保缴纳记录</w:t>
      </w:r>
      <w:r>
        <w:rPr>
          <w:rFonts w:hint="eastAsia" w:ascii="仿宋" w:hAnsi="仿宋" w:eastAsia="仿宋" w:cs="仿宋"/>
          <w:bCs/>
          <w:color w:val="000000"/>
          <w:sz w:val="24"/>
          <w:highlight w:val="none"/>
        </w:rPr>
        <w:t>作为本合同书附件）。</w:t>
      </w:r>
    </w:p>
    <w:p w14:paraId="41F69006">
      <w:pPr>
        <w:spacing w:line="400" w:lineRule="exact"/>
        <w:ind w:firstLine="480" w:firstLineChars="200"/>
        <w:rPr>
          <w:rFonts w:hint="default" w:ascii="仿宋" w:hAnsi="仿宋" w:eastAsia="仿宋" w:cs="仿宋"/>
          <w:bCs/>
          <w:color w:val="000000"/>
          <w:sz w:val="24"/>
          <w:highlight w:val="none"/>
          <w:lang w:val="en-US" w:eastAsia="zh-CN"/>
        </w:rPr>
      </w:pPr>
      <w:r>
        <w:rPr>
          <w:rFonts w:hint="eastAsia" w:ascii="仿宋" w:hAnsi="仿宋" w:eastAsia="仿宋" w:cs="仿宋"/>
          <w:bCs/>
          <w:color w:val="000000"/>
          <w:sz w:val="24"/>
          <w:highlight w:val="none"/>
          <w:lang w:val="en-US" w:eastAsia="zh-CN"/>
        </w:rPr>
        <w:t>分包人项目负责人确需更换的，分包人需提前15日向承包人进行书面申请，新任人选需满足同等资质要求</w:t>
      </w:r>
      <w:r>
        <w:rPr>
          <w:rFonts w:hint="eastAsia" w:ascii="仿宋" w:hAnsi="仿宋" w:eastAsia="仿宋" w:cs="仿宋"/>
          <w:bCs/>
          <w:color w:val="231F20"/>
          <w:spacing w:val="0"/>
          <w:sz w:val="24"/>
          <w:szCs w:val="24"/>
          <w:highlight w:val="none"/>
        </w:rPr>
        <w:t>并经</w:t>
      </w:r>
      <w:r>
        <w:rPr>
          <w:rFonts w:hint="eastAsia" w:ascii="仿宋" w:hAnsi="仿宋" w:eastAsia="仿宋" w:cs="仿宋"/>
          <w:bCs/>
          <w:color w:val="231F20"/>
          <w:spacing w:val="0"/>
          <w:sz w:val="24"/>
          <w:szCs w:val="24"/>
          <w:highlight w:val="none"/>
          <w:lang w:val="en-US" w:eastAsia="zh-CN"/>
        </w:rPr>
        <w:t>工程承包</w:t>
      </w:r>
      <w:r>
        <w:rPr>
          <w:rFonts w:hint="eastAsia" w:ascii="仿宋" w:hAnsi="仿宋" w:eastAsia="仿宋" w:cs="仿宋"/>
          <w:bCs/>
          <w:color w:val="231F20"/>
          <w:spacing w:val="0"/>
          <w:sz w:val="24"/>
          <w:szCs w:val="24"/>
          <w:highlight w:val="none"/>
        </w:rPr>
        <w:t>人</w:t>
      </w:r>
      <w:r>
        <w:rPr>
          <w:rFonts w:hint="eastAsia" w:ascii="仿宋" w:hAnsi="仿宋" w:eastAsia="仿宋" w:cs="仿宋"/>
          <w:bCs/>
          <w:color w:val="231F20"/>
          <w:spacing w:val="0"/>
          <w:sz w:val="24"/>
          <w:szCs w:val="24"/>
          <w:highlight w:val="none"/>
          <w:lang w:val="en-US" w:eastAsia="zh-CN"/>
        </w:rPr>
        <w:t>书面</w:t>
      </w:r>
      <w:r>
        <w:rPr>
          <w:rFonts w:hint="eastAsia" w:ascii="仿宋" w:hAnsi="仿宋" w:eastAsia="仿宋" w:cs="仿宋"/>
          <w:bCs/>
          <w:color w:val="231F20"/>
          <w:spacing w:val="0"/>
          <w:sz w:val="24"/>
          <w:szCs w:val="24"/>
          <w:highlight w:val="none"/>
        </w:rPr>
        <w:t>认可</w:t>
      </w:r>
      <w:r>
        <w:rPr>
          <w:rFonts w:hint="eastAsia" w:ascii="仿宋" w:hAnsi="仿宋" w:eastAsia="仿宋" w:cs="仿宋"/>
          <w:bCs/>
          <w:color w:val="231F20"/>
          <w:spacing w:val="0"/>
          <w:sz w:val="24"/>
          <w:szCs w:val="24"/>
          <w:highlight w:val="none"/>
          <w:lang w:eastAsia="zh-CN"/>
        </w:rPr>
        <w:t>。</w:t>
      </w:r>
      <w:r>
        <w:rPr>
          <w:rFonts w:hint="eastAsia" w:ascii="仿宋" w:hAnsi="仿宋" w:eastAsia="仿宋" w:cs="仿宋"/>
          <w:bCs/>
          <w:color w:val="000000"/>
          <w:sz w:val="24"/>
          <w:highlight w:val="none"/>
          <w:lang w:val="en-US" w:eastAsia="zh-CN"/>
        </w:rPr>
        <w:t>需重新提交《劳动合同》复印页、连续6个月以上社保缴纳记录。</w:t>
      </w:r>
    </w:p>
    <w:p w14:paraId="39E543E4">
      <w:pPr>
        <w:spacing w:line="400" w:lineRule="exact"/>
        <w:ind w:firstLine="482" w:firstLineChars="200"/>
        <w:rPr>
          <w:rFonts w:ascii="仿宋" w:hAnsi="仿宋" w:eastAsia="仿宋" w:cs="仿宋"/>
          <w:b/>
          <w:bCs/>
          <w:color w:val="000000"/>
          <w:sz w:val="24"/>
          <w:highlight w:val="none"/>
        </w:rPr>
      </w:pPr>
      <w:r>
        <w:rPr>
          <w:rFonts w:hint="eastAsia" w:ascii="仿宋" w:hAnsi="仿宋" w:eastAsia="仿宋" w:cs="仿宋"/>
          <w:b/>
          <w:bCs/>
          <w:color w:val="000000"/>
          <w:sz w:val="24"/>
          <w:highlight w:val="none"/>
        </w:rPr>
        <w:t>3、承包人工作</w:t>
      </w:r>
    </w:p>
    <w:p w14:paraId="01BE9D6E">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承包人应完成下列工作：</w:t>
      </w:r>
    </w:p>
    <w:p w14:paraId="03D2F9F0">
      <w:pPr>
        <w:keepNext w:val="0"/>
        <w:keepLines w:val="0"/>
        <w:pageBreakBefore w:val="0"/>
        <w:widowControl w:val="0"/>
        <w:kinsoku/>
        <w:wordWrap/>
        <w:overflowPunct/>
        <w:topLinePunct w:val="0"/>
        <w:autoSpaceDE/>
        <w:autoSpaceDN/>
        <w:bidi w:val="0"/>
        <w:adjustRightInd/>
        <w:snapToGrid w:val="0"/>
        <w:spacing w:line="400" w:lineRule="exact"/>
        <w:ind w:right="0" w:rightChars="0" w:firstLine="480" w:firstLineChars="200"/>
        <w:jc w:val="both"/>
        <w:textAlignment w:val="auto"/>
        <w:outlineLvl w:val="9"/>
        <w:rPr>
          <w:rFonts w:ascii="仿宋" w:hAnsi="仿宋" w:eastAsia="仿宋" w:cs="仿宋"/>
          <w:color w:val="000000"/>
          <w:sz w:val="24"/>
          <w:highlight w:val="none"/>
          <w:u w:val="single"/>
        </w:rPr>
      </w:pPr>
      <w:r>
        <w:rPr>
          <w:rFonts w:hint="eastAsia" w:ascii="仿宋" w:hAnsi="仿宋" w:eastAsia="仿宋" w:cs="仿宋"/>
          <w:color w:val="000000"/>
          <w:sz w:val="24"/>
          <w:highlight w:val="none"/>
        </w:rPr>
        <w:t>（1）向分包人提供施工场地和施工所需证件、</w:t>
      </w:r>
      <w:r>
        <w:rPr>
          <w:rFonts w:hint="eastAsia" w:ascii="仿宋" w:hAnsi="仿宋" w:eastAsia="仿宋" w:cs="仿宋"/>
          <w:color w:val="000000"/>
          <w:sz w:val="24"/>
          <w:highlight w:val="none"/>
          <w:lang w:val="en-US" w:eastAsia="zh-CN"/>
        </w:rPr>
        <w:t>文件</w:t>
      </w:r>
      <w:r>
        <w:rPr>
          <w:rFonts w:hint="eastAsia" w:ascii="仿宋" w:hAnsi="仿宋" w:eastAsia="仿宋" w:cs="仿宋"/>
          <w:color w:val="000000"/>
          <w:sz w:val="24"/>
          <w:highlight w:val="none"/>
        </w:rPr>
        <w:t>的名称和完成时间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eastAsia="zh-CN"/>
        </w:rPr>
        <w:t>；</w:t>
      </w:r>
      <w:r>
        <w:rPr>
          <w:rFonts w:hint="eastAsia" w:ascii="仿宋" w:hAnsi="仿宋" w:eastAsia="仿宋" w:cs="仿宋"/>
          <w:color w:val="000000"/>
          <w:sz w:val="24"/>
          <w:highlight w:val="none"/>
        </w:rPr>
        <w:t>施工场地提供：开工前</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个工作日。</w:t>
      </w:r>
    </w:p>
    <w:p w14:paraId="4F4F3F9E">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（2）组织分包人参加发包人会审图纸的时间：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3D801AE9">
      <w:pPr>
        <w:spacing w:line="400" w:lineRule="exact"/>
        <w:ind w:firstLine="0" w:firstLineChars="0"/>
        <w:rPr>
          <w:rFonts w:ascii="仿宋" w:hAnsi="仿宋" w:eastAsia="仿宋" w:cs="仿宋"/>
          <w:color w:val="000000"/>
          <w:sz w:val="24"/>
          <w:highlight w:val="none"/>
        </w:rPr>
      </w:pPr>
      <w:r>
        <w:rPr>
          <w:rFonts w:hint="eastAsia" w:ascii="仿宋" w:hAnsi="仿宋" w:eastAsia="仿宋" w:cs="仿宋"/>
          <w:color w:val="000000"/>
          <w:sz w:val="24"/>
          <w:highlight w:val="none"/>
        </w:rPr>
        <w:t>向分包人进行设计图纸交底的时间：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70017185">
      <w:pPr>
        <w:spacing w:line="400" w:lineRule="exact"/>
        <w:ind w:firstLine="480" w:firstLineChars="200"/>
        <w:rPr>
          <w:rFonts w:ascii="仿宋" w:hAnsi="仿宋" w:eastAsia="仿宋" w:cs="仿宋"/>
          <w:color w:val="000000"/>
          <w:sz w:val="24"/>
          <w:highlight w:val="none"/>
          <w:u w:val="single"/>
        </w:rPr>
      </w:pPr>
      <w:r>
        <w:rPr>
          <w:rFonts w:hint="eastAsia" w:ascii="仿宋" w:hAnsi="仿宋" w:eastAsia="仿宋" w:cs="仿宋"/>
          <w:color w:val="000000"/>
          <w:sz w:val="24"/>
          <w:highlight w:val="none"/>
        </w:rPr>
        <w:t>（3）承包人为本分包工程的实施提供的机械设备和（或）其他设施（如有时），及费用承担：</w:t>
      </w:r>
      <w:r>
        <w:rPr>
          <w:rFonts w:hint="eastAsia" w:ascii="仿宋" w:hAnsi="仿宋" w:eastAsia="仿宋" w:cs="仿宋"/>
          <w:color w:val="000000"/>
          <w:sz w:val="24"/>
          <w:highlight w:val="none"/>
          <w:u w:val="single"/>
        </w:rPr>
        <w:t xml:space="preserve">                        </w:t>
      </w:r>
    </w:p>
    <w:p w14:paraId="6FE9D945">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（4）双方约定承包人应做的其他工作：</w:t>
      </w:r>
      <w:r>
        <w:rPr>
          <w:rFonts w:hint="eastAsia" w:ascii="仿宋" w:hAnsi="仿宋" w:eastAsia="仿宋" w:cs="仿宋"/>
          <w:color w:val="000000"/>
          <w:sz w:val="24"/>
          <w:highlight w:val="none"/>
          <w:u w:val="single"/>
        </w:rPr>
        <w:t xml:space="preserve">                        </w:t>
      </w:r>
    </w:p>
    <w:p w14:paraId="547D1A4B">
      <w:pPr>
        <w:spacing w:line="400" w:lineRule="exact"/>
        <w:ind w:firstLine="482" w:firstLineChars="200"/>
        <w:rPr>
          <w:rFonts w:ascii="仿宋" w:hAnsi="仿宋" w:eastAsia="仿宋" w:cs="仿宋"/>
          <w:b/>
          <w:bCs/>
          <w:color w:val="000000"/>
          <w:sz w:val="24"/>
          <w:highlight w:val="none"/>
        </w:rPr>
      </w:pPr>
      <w:r>
        <w:rPr>
          <w:rFonts w:hint="eastAsia" w:ascii="仿宋" w:hAnsi="仿宋" w:eastAsia="仿宋" w:cs="仿宋"/>
          <w:b/>
          <w:bCs/>
          <w:color w:val="000000"/>
          <w:sz w:val="24"/>
          <w:highlight w:val="none"/>
        </w:rPr>
        <w:t xml:space="preserve">4、分包人工作  </w:t>
      </w:r>
    </w:p>
    <w:p w14:paraId="40C0F50F">
      <w:pPr>
        <w:spacing w:line="400" w:lineRule="exact"/>
        <w:ind w:firstLine="482" w:firstLineChars="200"/>
        <w:rPr>
          <w:rFonts w:ascii="仿宋" w:hAnsi="仿宋" w:eastAsia="仿宋" w:cs="仿宋"/>
          <w:b/>
          <w:bCs/>
          <w:color w:val="000000"/>
          <w:sz w:val="24"/>
          <w:highlight w:val="none"/>
        </w:rPr>
      </w:pPr>
      <w:r>
        <w:rPr>
          <w:rFonts w:hint="eastAsia" w:ascii="仿宋" w:hAnsi="仿宋" w:eastAsia="仿宋" w:cs="仿宋"/>
          <w:b/>
          <w:bCs/>
          <w:color w:val="000000"/>
          <w:sz w:val="24"/>
          <w:highlight w:val="none"/>
        </w:rPr>
        <w:t>分包人确认与承诺：</w:t>
      </w:r>
    </w:p>
    <w:p w14:paraId="3E934ABC">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① 在签订本合同前，分包人已对施工现场和周边实地查勘，对现场完全符合本合同约定的开工条件且无需再因进场与开工而产生必需的人力、物力等费用支出，确认无异议。</w:t>
      </w:r>
    </w:p>
    <w:p w14:paraId="6FDBF504">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② 分包人具有进行分包工程施工的资质和能力，并承诺本方一定以自身的设备设施、人力完成全部施工内容，不以任何形式将分包工程转由第三方完成。否则，均由分包人独立对外承担责任，与承包人无关。如因本约定不具有对抗第三方效力，导致承包人对外承担责任的，分包人按承包人向第三方支付款额的120%向承包人承担支付责任。</w:t>
      </w:r>
    </w:p>
    <w:p w14:paraId="086965CB">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③分包人确认，如本方有任何拖欠的材料、设施设备、人工等费用，均由分包人独立结算与支付，保证承包人不因此承担任何责任，且上述约定与双方之间是否有任何未结事项无关。</w:t>
      </w:r>
    </w:p>
    <w:p w14:paraId="610C6FFE">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上述确认与承诺均系本合同订立的前提，分包人明确放弃要求撤销和确认无效的权利，上述确认与承诺条款独立于本合同其它条款，本合同其它条款被撤销或无效的，不影响上述确认与承诺条款的效力。分包人违反上述条款的，按本合同约定总价款20%向承包人支付违约金。</w:t>
      </w:r>
    </w:p>
    <w:p w14:paraId="255CE10D">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bCs/>
          <w:color w:val="000000"/>
          <w:sz w:val="24"/>
          <w:highlight w:val="none"/>
        </w:rPr>
        <w:t>在上述确认与承诺基础上，</w:t>
      </w:r>
      <w:r>
        <w:rPr>
          <w:rFonts w:hint="eastAsia" w:ascii="仿宋" w:hAnsi="仿宋" w:eastAsia="仿宋" w:cs="仿宋"/>
          <w:color w:val="000000"/>
          <w:sz w:val="24"/>
          <w:highlight w:val="none"/>
        </w:rPr>
        <w:t>分包人应完成下列工作：</w:t>
      </w:r>
    </w:p>
    <w:p w14:paraId="7F0E8624">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（1）需完成的设计内容和提交时间：</w:t>
      </w:r>
      <w:r>
        <w:rPr>
          <w:rFonts w:hint="eastAsia" w:ascii="仿宋" w:hAnsi="仿宋" w:eastAsia="仿宋" w:cs="仿宋"/>
          <w:color w:val="000000"/>
          <w:sz w:val="24"/>
          <w:highlight w:val="none"/>
          <w:u w:val="single"/>
        </w:rPr>
        <w:t xml:space="preserve">                    </w:t>
      </w:r>
    </w:p>
    <w:p w14:paraId="4E435402">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（2）分包人应在本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 xml:space="preserve">签订生效后 </w:t>
      </w:r>
      <w:r>
        <w:rPr>
          <w:rFonts w:hint="eastAsia" w:ascii="仿宋" w:hAnsi="仿宋" w:eastAsia="仿宋" w:cs="仿宋"/>
          <w:color w:val="000000"/>
          <w:sz w:val="24"/>
          <w:highlight w:val="none"/>
          <w:u w:val="single"/>
        </w:rPr>
        <w:t xml:space="preserve"> 3 </w:t>
      </w:r>
      <w:r>
        <w:rPr>
          <w:rFonts w:hint="eastAsia" w:ascii="仿宋" w:hAnsi="仿宋" w:eastAsia="仿宋" w:cs="仿宋"/>
          <w:color w:val="000000"/>
          <w:sz w:val="24"/>
          <w:highlight w:val="none"/>
        </w:rPr>
        <w:t xml:space="preserve"> 日内向承包人项目负责人提交分包工程总体进度计划。分包人向承包人提交年、季度、月度、周工程进度计划及相应统计报表时间为：年度：每年1月15号前/季度：每季度第一个月15号前/月度：每月15号前/周：每周之前以书面形式提交 。承包人批准</w:t>
      </w:r>
      <w:r>
        <w:rPr>
          <w:rFonts w:hint="eastAsia" w:ascii="仿宋" w:hAnsi="仿宋" w:eastAsia="仿宋" w:cs="仿宋"/>
          <w:color w:val="000000"/>
          <w:sz w:val="24"/>
          <w:highlight w:val="none"/>
          <w:u w:val="none"/>
        </w:rPr>
        <w:t>工程进度计划</w:t>
      </w:r>
      <w:r>
        <w:rPr>
          <w:rFonts w:hint="eastAsia" w:ascii="仿宋" w:hAnsi="仿宋" w:eastAsia="仿宋" w:cs="仿宋"/>
          <w:color w:val="000000"/>
          <w:sz w:val="24"/>
          <w:highlight w:val="none"/>
        </w:rPr>
        <w:t>的时间：收到分包人提交的工程进度计划之日</w:t>
      </w:r>
      <w:r>
        <w:rPr>
          <w:rFonts w:hint="eastAsia" w:ascii="仿宋" w:hAnsi="仿宋" w:eastAsia="仿宋" w:cs="仿宋"/>
          <w:color w:val="000000"/>
          <w:sz w:val="24"/>
          <w:highlight w:val="none"/>
          <w:u w:val="none"/>
        </w:rPr>
        <w:t>起</w:t>
      </w:r>
      <w:r>
        <w:rPr>
          <w:rFonts w:hint="eastAsia" w:ascii="仿宋" w:hAnsi="仿宋" w:eastAsia="仿宋" w:cs="仿宋"/>
          <w:color w:val="000000"/>
          <w:sz w:val="24"/>
          <w:highlight w:val="none"/>
          <w:u w:val="single"/>
        </w:rPr>
        <w:t xml:space="preserve">         个</w:t>
      </w:r>
      <w:r>
        <w:rPr>
          <w:rFonts w:hint="eastAsia" w:ascii="仿宋" w:hAnsi="仿宋" w:eastAsia="仿宋" w:cs="仿宋"/>
          <w:color w:val="000000"/>
          <w:sz w:val="24"/>
          <w:highlight w:val="none"/>
          <w:u w:val="none"/>
        </w:rPr>
        <w:t>工作日内。</w:t>
      </w:r>
    </w:p>
    <w:p w14:paraId="2E7C6074">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（3）向承包人提交施工组织设计的时间</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71AFF597">
      <w:pPr>
        <w:spacing w:line="400" w:lineRule="exact"/>
        <w:ind w:firstLine="600" w:firstLineChars="250"/>
        <w:rPr>
          <w:rFonts w:ascii="仿宋" w:hAnsi="仿宋" w:eastAsia="仿宋" w:cs="仿宋"/>
          <w:color w:val="000000"/>
          <w:sz w:val="24"/>
          <w:highlight w:val="none"/>
        </w:rPr>
      </w:pPr>
      <w:r>
        <w:rPr>
          <w:rFonts w:hint="eastAsia" w:ascii="仿宋" w:hAnsi="仿宋" w:eastAsia="仿宋" w:cs="仿宋"/>
          <w:color w:val="000000"/>
          <w:sz w:val="24"/>
          <w:highlight w:val="none"/>
        </w:rPr>
        <w:t>承包人批准</w:t>
      </w:r>
      <w:r>
        <w:rPr>
          <w:rFonts w:hint="eastAsia" w:ascii="仿宋" w:hAnsi="仿宋" w:eastAsia="仿宋" w:cs="仿宋"/>
          <w:color w:val="000000"/>
          <w:sz w:val="24"/>
          <w:highlight w:val="none"/>
          <w:u w:val="none"/>
        </w:rPr>
        <w:t>施工组织设计</w:t>
      </w:r>
      <w:r>
        <w:rPr>
          <w:rFonts w:hint="eastAsia" w:ascii="仿宋" w:hAnsi="仿宋" w:eastAsia="仿宋" w:cs="仿宋"/>
          <w:color w:val="000000"/>
          <w:sz w:val="24"/>
          <w:highlight w:val="none"/>
        </w:rPr>
        <w:t>的时间：收到分包人提交的施工组织设计之日起</w:t>
      </w:r>
      <w:r>
        <w:rPr>
          <w:rFonts w:hint="eastAsia" w:ascii="仿宋" w:hAnsi="仿宋" w:eastAsia="仿宋" w:cs="仿宋"/>
          <w:color w:val="000000"/>
          <w:sz w:val="24"/>
          <w:highlight w:val="none"/>
          <w:u w:val="single"/>
          <w:lang w:val="en-US" w:eastAsia="zh-CN"/>
        </w:rPr>
        <w:t xml:space="preserve">XX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个工作日内。</w:t>
      </w:r>
    </w:p>
    <w:p w14:paraId="0DA723D6">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（4）已完工程成品保护的特殊要求及费用承担：</w:t>
      </w:r>
      <w:r>
        <w:rPr>
          <w:rFonts w:hint="eastAsia" w:ascii="仿宋" w:hAnsi="仿宋" w:eastAsia="仿宋" w:cs="仿宋"/>
          <w:color w:val="000000"/>
          <w:sz w:val="24"/>
          <w:highlight w:val="none"/>
          <w:u w:val="single"/>
        </w:rPr>
        <w:t>分包人负责保护已完工程成品至工程竣工验收合格后，费用已包含在合同价款内 。</w:t>
      </w:r>
    </w:p>
    <w:p w14:paraId="73DA1144">
      <w:pPr>
        <w:pStyle w:val="34"/>
        <w:widowControl w:val="0"/>
        <w:adjustRightInd w:val="0"/>
        <w:snapToGrid w:val="0"/>
        <w:spacing w:before="0" w:beforeAutospacing="0" w:after="0" w:afterAutospacing="0" w:line="400" w:lineRule="exact"/>
        <w:ind w:firstLine="480" w:firstLineChars="200"/>
        <w:rPr>
          <w:rFonts w:ascii="仿宋" w:hAnsi="仿宋" w:eastAsia="仿宋" w:cs="仿宋"/>
          <w:color w:val="000000"/>
          <w:highlight w:val="none"/>
        </w:rPr>
      </w:pPr>
      <w:r>
        <w:rPr>
          <w:rFonts w:hint="eastAsia" w:ascii="仿宋" w:hAnsi="仿宋" w:eastAsia="仿宋" w:cs="仿宋"/>
          <w:color w:val="000000"/>
          <w:highlight w:val="none"/>
        </w:rPr>
        <w:t>（5）双方约定分包人应做的其他工作：</w:t>
      </w:r>
    </w:p>
    <w:p w14:paraId="57E5F10B">
      <w:pPr>
        <w:pStyle w:val="34"/>
        <w:widowControl w:val="0"/>
        <w:adjustRightInd w:val="0"/>
        <w:snapToGrid w:val="0"/>
        <w:spacing w:before="0" w:beforeAutospacing="0" w:after="0" w:afterAutospacing="0" w:line="400" w:lineRule="exact"/>
        <w:ind w:firstLine="480" w:firstLineChars="200"/>
        <w:rPr>
          <w:rFonts w:hint="eastAsia" w:ascii="仿宋" w:hAnsi="仿宋" w:eastAsia="仿宋" w:cs="仿宋"/>
          <w:color w:val="000000"/>
          <w:spacing w:val="-4"/>
          <w:kern w:val="2"/>
          <w:highlight w:val="none"/>
        </w:rPr>
      </w:pPr>
      <w:r>
        <w:rPr>
          <w:rFonts w:hint="eastAsia" w:ascii="仿宋" w:hAnsi="仿宋" w:eastAsia="仿宋" w:cs="仿宋"/>
          <w:color w:val="000000"/>
          <w:highlight w:val="none"/>
        </w:rPr>
        <w:t xml:space="preserve">① </w:t>
      </w:r>
      <w:r>
        <w:rPr>
          <w:rFonts w:hint="eastAsia" w:ascii="仿宋" w:hAnsi="仿宋" w:eastAsia="仿宋" w:cs="仿宋"/>
          <w:color w:val="000000"/>
          <w:spacing w:val="-4"/>
          <w:kern w:val="2"/>
          <w:highlight w:val="none"/>
        </w:rPr>
        <w:t>分包人委派一名代表，全权代理分包人履行本合同，该委派代表拥有实体权益处分权，其有权对合同履行过程中双方的往来文件进行签字确认，其签字确认的文件视为已被分包人确认，一经填写不得修改。</w:t>
      </w:r>
    </w:p>
    <w:p w14:paraId="554212F7">
      <w:pPr>
        <w:pStyle w:val="34"/>
        <w:widowControl w:val="0"/>
        <w:adjustRightInd w:val="0"/>
        <w:snapToGrid w:val="0"/>
        <w:spacing w:before="0" w:beforeAutospacing="0" w:after="0" w:afterAutospacing="0" w:line="400" w:lineRule="exact"/>
        <w:ind w:firstLine="464" w:firstLineChars="200"/>
        <w:rPr>
          <w:rFonts w:ascii="仿宋" w:hAnsi="仿宋" w:eastAsia="仿宋" w:cs="仿宋"/>
          <w:color w:val="000000"/>
          <w:highlight w:val="none"/>
          <w:u w:val="single"/>
        </w:rPr>
      </w:pPr>
      <w:r>
        <w:rPr>
          <w:rFonts w:hint="eastAsia" w:ascii="仿宋" w:hAnsi="仿宋" w:eastAsia="仿宋" w:cs="仿宋"/>
          <w:color w:val="000000"/>
          <w:spacing w:val="-4"/>
          <w:kern w:val="2"/>
          <w:highlight w:val="none"/>
        </w:rPr>
        <w:t>分包人委派代表身份信息：预留签字：</w:t>
      </w:r>
      <w:r>
        <w:rPr>
          <w:rFonts w:hint="eastAsia" w:ascii="仿宋" w:hAnsi="仿宋" w:eastAsia="仿宋" w:cs="仿宋"/>
          <w:color w:val="000000"/>
          <w:highlight w:val="none"/>
          <w:u w:val="single"/>
        </w:rPr>
        <w:t xml:space="preserve">         </w:t>
      </w:r>
      <w:r>
        <w:rPr>
          <w:rFonts w:hint="eastAsia" w:ascii="仿宋" w:hAnsi="仿宋" w:eastAsia="仿宋" w:cs="仿宋"/>
          <w:color w:val="000000"/>
          <w:highlight w:val="none"/>
          <w:u w:val="single"/>
          <w:lang w:val="en-US" w:eastAsia="zh-CN"/>
        </w:rPr>
        <w:t xml:space="preserve">         </w:t>
      </w:r>
      <w:r>
        <w:rPr>
          <w:rFonts w:hint="eastAsia" w:ascii="仿宋" w:hAnsi="仿宋" w:eastAsia="仿宋" w:cs="仿宋"/>
          <w:color w:val="000000"/>
          <w:highlight w:val="none"/>
          <w:u w:val="single"/>
        </w:rPr>
        <w:t xml:space="preserve">      ；</w:t>
      </w:r>
    </w:p>
    <w:p w14:paraId="7301FD9E">
      <w:pPr>
        <w:pStyle w:val="34"/>
        <w:widowControl w:val="0"/>
        <w:adjustRightInd w:val="0"/>
        <w:snapToGrid w:val="0"/>
        <w:spacing w:before="0" w:beforeAutospacing="0" w:after="0" w:afterAutospacing="0" w:line="400" w:lineRule="exact"/>
        <w:ind w:firstLine="480" w:firstLineChars="200"/>
        <w:rPr>
          <w:rFonts w:ascii="仿宋" w:hAnsi="仿宋" w:eastAsia="仿宋" w:cs="仿宋"/>
          <w:color w:val="000000"/>
          <w:highlight w:val="none"/>
          <w:u w:val="single"/>
        </w:rPr>
      </w:pPr>
      <w:r>
        <w:rPr>
          <w:rFonts w:hint="eastAsia" w:ascii="仿宋" w:hAnsi="仿宋" w:eastAsia="仿宋" w:cs="仿宋"/>
          <w:color w:val="000000"/>
          <w:highlight w:val="none"/>
          <w:u w:val="single"/>
        </w:rPr>
        <w:t>分包人未经承包人同意擅自授权合同预留签字之外的第三人办理与本合同有关的各项事务均无效，由分包人自行承担全部责任。</w:t>
      </w:r>
    </w:p>
    <w:p w14:paraId="3F82A3BE">
      <w:pPr>
        <w:autoSpaceDE w:val="0"/>
        <w:autoSpaceDN w:val="0"/>
        <w:adjustRightInd w:val="0"/>
        <w:spacing w:line="400" w:lineRule="exact"/>
        <w:ind w:right="32" w:firstLine="480" w:firstLineChars="200"/>
        <w:rPr>
          <w:rFonts w:hint="eastAsia" w:ascii="仿宋" w:hAnsi="仿宋" w:eastAsia="仿宋" w:cs="仿宋"/>
          <w:color w:val="000000"/>
          <w:sz w:val="24"/>
          <w:highlight w:val="none"/>
        </w:rPr>
      </w:pPr>
      <w:bookmarkStart w:id="189" w:name="auto_fouce_1"/>
      <w:r>
        <w:rPr>
          <w:rFonts w:hint="eastAsia" w:ascii="仿宋" w:hAnsi="仿宋" w:eastAsia="仿宋" w:cs="仿宋"/>
          <w:color w:val="000000"/>
          <w:sz w:val="24"/>
          <w:highlight w:val="none"/>
        </w:rPr>
        <w:t>②</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分包人负责本方承包施工工程的安全、消防等全部管理工作</w:t>
      </w:r>
      <w:r>
        <w:rPr>
          <w:rFonts w:hint="eastAsia" w:ascii="仿宋" w:hAnsi="仿宋" w:eastAsia="仿宋" w:cs="仿宋"/>
          <w:color w:val="000000"/>
          <w:sz w:val="24"/>
          <w:highlight w:val="none"/>
          <w:lang w:val="en-US" w:eastAsia="zh-CN"/>
        </w:rPr>
        <w:t>，</w:t>
      </w:r>
      <w:r>
        <w:rPr>
          <w:rFonts w:hint="eastAsia" w:ascii="仿宋" w:hAnsi="仿宋" w:eastAsia="仿宋" w:cs="仿宋"/>
          <w:color w:val="000000"/>
          <w:sz w:val="24"/>
          <w:highlight w:val="none"/>
          <w:lang w:val="en-US" w:eastAsia="zh"/>
        </w:rPr>
        <w:t>必须严格遵守《建设工程安全生产管理条例》等法律法规，建立健全安全生产责任制度和安全生产教育培训制度，配备专职安全生产管理人员，制定安全</w:t>
      </w:r>
      <w:r>
        <w:rPr>
          <w:rFonts w:hint="eastAsia" w:ascii="仿宋" w:hAnsi="仿宋" w:eastAsia="仿宋" w:cs="仿宋"/>
          <w:color w:val="000000"/>
          <w:sz w:val="24"/>
          <w:highlight w:val="none"/>
        </w:rPr>
        <w:t>施工过程发生的所有问题，包括但不限于扰民、民扰、安全、交通、环保、周边关系、施工事故等工作全部由分包人负责并承担与之有关的一切费用。</w:t>
      </w:r>
    </w:p>
    <w:p w14:paraId="6912203D">
      <w:pPr>
        <w:keepNext w:val="0"/>
        <w:keepLines w:val="0"/>
        <w:widowControl/>
        <w:numPr>
          <w:ilvl w:val="-1"/>
          <w:numId w:val="0"/>
        </w:numPr>
        <w:suppressLineNumbers w:val="0"/>
        <w:pBdr>
          <w:left w:val="none" w:color="auto" w:sz="0" w:space="0"/>
        </w:pBdr>
        <w:autoSpaceDE w:val="0"/>
        <w:autoSpaceDN w:val="0"/>
        <w:adjustRightInd w:val="0"/>
        <w:spacing w:before="0" w:beforeAutospacing="0" w:after="0" w:afterAutospacing="0" w:line="400" w:lineRule="exact"/>
        <w:ind w:left="0" w:right="32" w:firstLine="480" w:firstLineChars="200"/>
        <w:rPr>
          <w:rFonts w:hint="eastAsia" w:ascii="仿宋" w:hAnsi="仿宋" w:eastAsia="仿宋" w:cs="仿宋"/>
          <w:color w:val="000000"/>
          <w:sz w:val="24"/>
          <w:szCs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分包人须对分包工程施工全过程的</w:t>
      </w:r>
      <w:r>
        <w:rPr>
          <w:rFonts w:hint="eastAsia" w:ascii="仿宋" w:hAnsi="仿宋" w:eastAsia="仿宋" w:cs="仿宋"/>
          <w:b w:val="0"/>
          <w:bCs w:val="0"/>
          <w:i w:val="0"/>
          <w:iCs w:val="0"/>
          <w:caps w:val="0"/>
          <w:color w:val="000000"/>
          <w:spacing w:val="0"/>
          <w:sz w:val="24"/>
          <w:szCs w:val="24"/>
          <w:highlight w:val="none"/>
          <w:shd w:val="clear"/>
          <w:lang w:eastAsia="zh"/>
        </w:rPr>
        <w:t>人员安全、设备安全、消防安全、临时设施安全</w:t>
      </w:r>
      <w:r>
        <w:rPr>
          <w:rFonts w:hint="eastAsia" w:ascii="仿宋" w:hAnsi="仿宋" w:eastAsia="仿宋" w:cs="仿宋"/>
          <w:i w:val="0"/>
          <w:iCs w:val="0"/>
          <w:caps w:val="0"/>
          <w:color w:val="000000"/>
          <w:spacing w:val="0"/>
          <w:sz w:val="24"/>
          <w:szCs w:val="24"/>
          <w:highlight w:val="none"/>
          <w:shd w:val="clear"/>
          <w:lang w:eastAsia="zh"/>
        </w:rPr>
        <w:t>等承担全部管理责任，包括但不限于施工人员的岗前安全培训、特种作业人员持证上岗管理、施工设备的定期维护及检测、施工现场临时用电安全规范执行。​</w:t>
      </w:r>
    </w:p>
    <w:p w14:paraId="195BB6EC">
      <w:pPr>
        <w:keepNext w:val="0"/>
        <w:keepLines w:val="0"/>
        <w:widowControl/>
        <w:numPr>
          <w:ilvl w:val="-1"/>
          <w:numId w:val="0"/>
        </w:numPr>
        <w:suppressLineNumbers w:val="0"/>
        <w:pBdr>
          <w:left w:val="none" w:color="auto" w:sz="0" w:space="0"/>
        </w:pBdr>
        <w:autoSpaceDE w:val="0"/>
        <w:autoSpaceDN w:val="0"/>
        <w:adjustRightInd w:val="0"/>
        <w:spacing w:before="0" w:beforeAutospacing="0" w:after="0" w:afterAutospacing="0" w:line="400" w:lineRule="exact"/>
        <w:ind w:left="0" w:right="32" w:firstLine="480" w:firstLineChars="200"/>
        <w:rPr>
          <w:rFonts w:hint="eastAsia" w:ascii="仿宋" w:hAnsi="仿宋" w:eastAsia="仿宋" w:cs="仿宋"/>
          <w:color w:val="000000"/>
          <w:sz w:val="24"/>
          <w:szCs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分包人应自行购买足额的</w:t>
      </w:r>
      <w:r>
        <w:rPr>
          <w:rFonts w:hint="eastAsia" w:ascii="仿宋" w:hAnsi="仿宋" w:eastAsia="仿宋" w:cs="仿宋"/>
          <w:b w:val="0"/>
          <w:bCs w:val="0"/>
          <w:i w:val="0"/>
          <w:iCs w:val="0"/>
          <w:caps w:val="0"/>
          <w:color w:val="000000"/>
          <w:spacing w:val="0"/>
          <w:sz w:val="24"/>
          <w:szCs w:val="24"/>
          <w:highlight w:val="none"/>
          <w:shd w:val="clear"/>
          <w:lang w:eastAsia="zh"/>
        </w:rPr>
        <w:t>建筑工程一切险、安装工程一切险、施工人员意外伤害险</w:t>
      </w:r>
      <w:r>
        <w:rPr>
          <w:rFonts w:hint="eastAsia" w:ascii="仿宋" w:hAnsi="仿宋" w:eastAsia="仿宋" w:cs="仿宋"/>
          <w:i w:val="0"/>
          <w:iCs w:val="0"/>
          <w:caps w:val="0"/>
          <w:color w:val="000000"/>
          <w:spacing w:val="0"/>
          <w:sz w:val="24"/>
          <w:szCs w:val="24"/>
          <w:highlight w:val="none"/>
          <w:shd w:val="clear"/>
          <w:lang w:eastAsia="zh"/>
        </w:rPr>
        <w:t>，并在开工前向承包人提交保单复印件。若因分包人未购买保险导致事故损失无法赔付，由分包人承担全部赔偿责任。​</w:t>
      </w:r>
    </w:p>
    <w:p w14:paraId="72C51338">
      <w:pPr>
        <w:keepNext w:val="0"/>
        <w:keepLines w:val="0"/>
        <w:widowControl/>
        <w:numPr>
          <w:ilvl w:val="-1"/>
          <w:numId w:val="0"/>
        </w:numPr>
        <w:suppressLineNumbers w:val="0"/>
        <w:pBdr>
          <w:left w:val="none" w:color="auto" w:sz="0" w:space="0"/>
        </w:pBdr>
        <w:autoSpaceDE w:val="0"/>
        <w:autoSpaceDN w:val="0"/>
        <w:adjustRightInd w:val="0"/>
        <w:spacing w:before="0" w:beforeAutospacing="0" w:after="0" w:afterAutospacing="0" w:line="400" w:lineRule="exact"/>
        <w:ind w:left="0" w:right="32" w:firstLine="480" w:firstLineChars="200"/>
        <w:rPr>
          <w:rFonts w:hint="eastAsia" w:ascii="仿宋" w:hAnsi="仿宋" w:eastAsia="仿宋" w:cs="仿宋"/>
          <w:color w:val="000000"/>
          <w:sz w:val="24"/>
          <w:szCs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发生安全事故后，分包人须在</w:t>
      </w:r>
      <w:r>
        <w:rPr>
          <w:rFonts w:hint="eastAsia" w:ascii="仿宋" w:hAnsi="仿宋" w:eastAsia="仿宋" w:cs="仿宋"/>
          <w:b w:val="0"/>
          <w:bCs w:val="0"/>
          <w:i w:val="0"/>
          <w:iCs w:val="0"/>
          <w:caps w:val="0"/>
          <w:color w:val="000000"/>
          <w:spacing w:val="0"/>
          <w:sz w:val="24"/>
          <w:szCs w:val="24"/>
          <w:highlight w:val="none"/>
          <w:shd w:val="clear"/>
          <w:lang w:eastAsia="zh"/>
        </w:rPr>
        <w:t>1小时内</w:t>
      </w:r>
      <w:r>
        <w:rPr>
          <w:rFonts w:hint="eastAsia" w:ascii="仿宋" w:hAnsi="仿宋" w:eastAsia="仿宋" w:cs="仿宋"/>
          <w:i w:val="0"/>
          <w:iCs w:val="0"/>
          <w:caps w:val="0"/>
          <w:color w:val="000000"/>
          <w:spacing w:val="0"/>
          <w:sz w:val="24"/>
          <w:szCs w:val="24"/>
          <w:highlight w:val="none"/>
          <w:shd w:val="clear"/>
          <w:lang w:eastAsia="zh"/>
        </w:rPr>
        <w:t>以书面形式向承包人报告事故详情，包括事故时间、地点、伤亡情况及初步原因；事故处理过程中，分包人应严格配合政府监管部门及承包人的调查，如实提供相关证据材料，不得隐瞒或伪造事实。</w:t>
      </w:r>
    </w:p>
    <w:p w14:paraId="0FDCF021">
      <w:pPr>
        <w:keepNext w:val="0"/>
        <w:keepLines w:val="0"/>
        <w:widowControl/>
        <w:numPr>
          <w:ilvl w:val="-1"/>
          <w:numId w:val="0"/>
        </w:numPr>
        <w:suppressLineNumbers w:val="0"/>
        <w:pBdr>
          <w:left w:val="none" w:color="auto" w:sz="0" w:space="0"/>
        </w:pBdr>
        <w:autoSpaceDE w:val="0"/>
        <w:autoSpaceDN w:val="0"/>
        <w:adjustRightInd w:val="0"/>
        <w:spacing w:before="0" w:beforeAutospacing="0" w:after="0" w:afterAutospacing="0" w:line="400" w:lineRule="exact"/>
        <w:ind w:left="0" w:right="32" w:firstLine="480" w:firstLineChars="200"/>
        <w:rPr>
          <w:rFonts w:hint="eastAsia" w:ascii="仿宋" w:hAnsi="仿宋" w:eastAsia="仿宋" w:cs="仿宋"/>
          <w:color w:val="000000"/>
          <w:sz w:val="24"/>
          <w:szCs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分包人须按照当地建设行政主管部门及承包人要求，对施工现场采取</w:t>
      </w:r>
      <w:r>
        <w:rPr>
          <w:rFonts w:hint="eastAsia" w:ascii="仿宋" w:hAnsi="仿宋" w:eastAsia="仿宋" w:cs="仿宋"/>
          <w:b w:val="0"/>
          <w:bCs w:val="0"/>
          <w:i w:val="0"/>
          <w:iCs w:val="0"/>
          <w:caps w:val="0"/>
          <w:color w:val="000000"/>
          <w:spacing w:val="0"/>
          <w:sz w:val="24"/>
          <w:szCs w:val="24"/>
          <w:highlight w:val="none"/>
          <w:shd w:val="clear"/>
          <w:lang w:eastAsia="zh"/>
        </w:rPr>
        <w:t>扬尘控制、噪音防治、污水排放处理</w:t>
      </w:r>
      <w:r>
        <w:rPr>
          <w:rFonts w:hint="eastAsia" w:ascii="仿宋" w:hAnsi="仿宋" w:eastAsia="仿宋" w:cs="仿宋"/>
          <w:i w:val="0"/>
          <w:iCs w:val="0"/>
          <w:caps w:val="0"/>
          <w:color w:val="000000"/>
          <w:spacing w:val="0"/>
          <w:sz w:val="24"/>
          <w:szCs w:val="24"/>
          <w:highlight w:val="none"/>
          <w:shd w:val="clear"/>
          <w:lang w:eastAsia="zh"/>
        </w:rPr>
        <w:t>等措施。例如，土方作业阶段扬尘高度不得超过1.5米，结构施工、安装装饰装修阶段扬尘高度不得超过0.5米；在居民休息时段（如晚10点至早6点），禁止进行产生噪音的施工作业，确需连续施工的，应提前办理相关审批手续并公示。​</w:t>
      </w:r>
    </w:p>
    <w:p w14:paraId="70670705">
      <w:pPr>
        <w:keepNext w:val="0"/>
        <w:keepLines w:val="0"/>
        <w:widowControl/>
        <w:numPr>
          <w:ilvl w:val="-1"/>
          <w:numId w:val="0"/>
        </w:numPr>
        <w:suppressLineNumbers w:val="0"/>
        <w:pBdr>
          <w:left w:val="none" w:color="auto" w:sz="0" w:space="0"/>
        </w:pBdr>
        <w:autoSpaceDE w:val="0"/>
        <w:autoSpaceDN w:val="0"/>
        <w:adjustRightInd w:val="0"/>
        <w:spacing w:before="0" w:beforeAutospacing="0" w:after="0" w:afterAutospacing="0" w:line="400" w:lineRule="exact"/>
        <w:ind w:left="0" w:right="32" w:firstLine="480" w:firstLineChars="200"/>
        <w:rPr>
          <w:rFonts w:hint="eastAsia" w:ascii="仿宋" w:hAnsi="仿宋" w:eastAsia="仿宋" w:cs="仿宋"/>
          <w:color w:val="000000"/>
          <w:sz w:val="24"/>
          <w:szCs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分包人负责的施工区域需严格按照</w:t>
      </w:r>
      <w:r>
        <w:rPr>
          <w:rFonts w:hint="eastAsia" w:ascii="仿宋" w:hAnsi="仿宋" w:eastAsia="仿宋" w:cs="仿宋"/>
          <w:i w:val="0"/>
          <w:iCs w:val="0"/>
          <w:caps w:val="0"/>
          <w:color w:val="000000"/>
          <w:spacing w:val="0"/>
          <w:sz w:val="24"/>
          <w:szCs w:val="24"/>
          <w:highlight w:val="none"/>
          <w:shd w:val="clear"/>
          <w:lang w:val="en-US" w:eastAsia="zh"/>
        </w:rPr>
        <w:t>相关规定</w:t>
      </w:r>
      <w:r>
        <w:rPr>
          <w:rFonts w:hint="eastAsia" w:ascii="仿宋" w:hAnsi="仿宋" w:eastAsia="仿宋" w:cs="仿宋"/>
          <w:i w:val="0"/>
          <w:iCs w:val="0"/>
          <w:caps w:val="0"/>
          <w:color w:val="000000"/>
          <w:spacing w:val="0"/>
          <w:sz w:val="24"/>
          <w:szCs w:val="24"/>
          <w:highlight w:val="none"/>
          <w:shd w:val="clear"/>
          <w:lang w:eastAsia="zh"/>
        </w:rPr>
        <w:t>设置围挡、警示标识、材料堆放区、垃圾存放点等。围挡高度不得低 2.5米，且需定期进行清洁和维护；材料堆放应分类整齐，并设置明显标识牌，注明材料名称、规格、检验状态等信息。​</w:t>
      </w:r>
    </w:p>
    <w:p w14:paraId="3B559AC6">
      <w:pPr>
        <w:keepNext w:val="0"/>
        <w:keepLines w:val="0"/>
        <w:widowControl/>
        <w:numPr>
          <w:ilvl w:val="-1"/>
          <w:numId w:val="0"/>
        </w:numPr>
        <w:suppressLineNumbers w:val="0"/>
        <w:pBdr>
          <w:left w:val="none" w:color="auto" w:sz="0" w:space="0"/>
        </w:pBdr>
        <w:autoSpaceDE w:val="0"/>
        <w:autoSpaceDN w:val="0"/>
        <w:adjustRightInd w:val="0"/>
        <w:spacing w:before="0" w:beforeAutospacing="0" w:after="0" w:afterAutospacing="0" w:line="400" w:lineRule="exact"/>
        <w:ind w:left="0" w:right="32" w:firstLine="480" w:firstLineChars="200"/>
        <w:rPr>
          <w:rFonts w:hint="eastAsia" w:ascii="仿宋" w:hAnsi="仿宋" w:eastAsia="仿宋" w:cs="仿宋"/>
          <w:color w:val="000000"/>
          <w:sz w:val="24"/>
          <w:szCs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分包人施工人员须统一着装，佩戴带有分包单位标识的安全帽及工作牌；禁止在施工现场吸烟、酗酒、赌博或从事其他违法违规活动。若因分包人员行为不当导致承包人受到行政处罚或社会负面舆论影响，分包人应承担全部责任并消除影响。</w:t>
      </w:r>
    </w:p>
    <w:p w14:paraId="486C71B3">
      <w:pPr>
        <w:keepNext w:val="0"/>
        <w:keepLines w:val="0"/>
        <w:widowControl/>
        <w:numPr>
          <w:ilvl w:val="-1"/>
          <w:numId w:val="0"/>
        </w:numPr>
        <w:suppressLineNumbers w:val="0"/>
        <w:pBdr>
          <w:left w:val="none" w:color="auto" w:sz="0" w:space="0"/>
        </w:pBdr>
        <w:autoSpaceDE w:val="0"/>
        <w:autoSpaceDN w:val="0"/>
        <w:adjustRightInd w:val="0"/>
        <w:spacing w:before="0" w:beforeAutospacing="0" w:after="0" w:afterAutospacing="0" w:line="400" w:lineRule="exact"/>
        <w:ind w:left="0" w:right="32" w:firstLine="480" w:firstLineChars="200"/>
        <w:rPr>
          <w:rFonts w:hint="eastAsia" w:ascii="仿宋" w:hAnsi="仿宋" w:eastAsia="仿宋" w:cs="仿宋"/>
          <w:color w:val="000000"/>
          <w:sz w:val="24"/>
          <w:szCs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承包人有权对分包工程的安全文明施工情况进行</w:t>
      </w:r>
      <w:r>
        <w:rPr>
          <w:rFonts w:hint="eastAsia" w:ascii="仿宋" w:hAnsi="仿宋" w:eastAsia="仿宋" w:cs="仿宋"/>
          <w:b w:val="0"/>
          <w:bCs w:val="0"/>
          <w:i w:val="0"/>
          <w:iCs w:val="0"/>
          <w:caps w:val="0"/>
          <w:color w:val="000000"/>
          <w:spacing w:val="0"/>
          <w:sz w:val="24"/>
          <w:szCs w:val="24"/>
          <w:highlight w:val="none"/>
          <w:shd w:val="clear"/>
          <w:lang w:eastAsia="zh"/>
        </w:rPr>
        <w:t>日常巡查、专项检查及不定期抽查</w:t>
      </w:r>
      <w:r>
        <w:rPr>
          <w:rFonts w:hint="eastAsia" w:ascii="仿宋" w:hAnsi="仿宋" w:eastAsia="仿宋" w:cs="仿宋"/>
          <w:i w:val="0"/>
          <w:iCs w:val="0"/>
          <w:caps w:val="0"/>
          <w:color w:val="000000"/>
          <w:spacing w:val="0"/>
          <w:sz w:val="24"/>
          <w:szCs w:val="24"/>
          <w:highlight w:val="none"/>
          <w:shd w:val="clear"/>
          <w:lang w:eastAsia="zh"/>
        </w:rPr>
        <w:t>，发现问题后以</w:t>
      </w:r>
      <w:r>
        <w:rPr>
          <w:rFonts w:hint="eastAsia" w:ascii="仿宋" w:hAnsi="仿宋" w:eastAsia="仿宋" w:cs="仿宋"/>
          <w:b w:val="0"/>
          <w:bCs w:val="0"/>
          <w:i w:val="0"/>
          <w:iCs w:val="0"/>
          <w:caps w:val="0"/>
          <w:color w:val="000000"/>
          <w:spacing w:val="0"/>
          <w:sz w:val="24"/>
          <w:szCs w:val="24"/>
          <w:highlight w:val="none"/>
          <w:shd w:val="clear"/>
          <w:lang w:eastAsia="zh"/>
        </w:rPr>
        <w:t>书面整改通知单</w:t>
      </w:r>
      <w:r>
        <w:rPr>
          <w:rFonts w:hint="eastAsia" w:ascii="仿宋" w:hAnsi="仿宋" w:eastAsia="仿宋" w:cs="仿宋"/>
          <w:i w:val="0"/>
          <w:iCs w:val="0"/>
          <w:caps w:val="0"/>
          <w:color w:val="000000"/>
          <w:spacing w:val="0"/>
          <w:sz w:val="24"/>
          <w:szCs w:val="24"/>
          <w:highlight w:val="none"/>
          <w:shd w:val="clear"/>
          <w:lang w:eastAsia="zh"/>
        </w:rPr>
        <w:t>形式要求分包人限期整改。分包人应在收到通知单后 24 小时内制定整改方案，并在规定时间内完成整改，整改完成后提交书面回复及整改前后对比照片。​</w:t>
      </w:r>
    </w:p>
    <w:p w14:paraId="06ED6D39">
      <w:pPr>
        <w:keepNext w:val="0"/>
        <w:keepLines w:val="0"/>
        <w:widowControl/>
        <w:numPr>
          <w:ilvl w:val="-1"/>
          <w:numId w:val="0"/>
        </w:numPr>
        <w:suppressLineNumbers w:val="0"/>
        <w:pBdr>
          <w:left w:val="none" w:color="auto" w:sz="0" w:space="0"/>
        </w:pBdr>
        <w:autoSpaceDE w:val="0"/>
        <w:autoSpaceDN w:val="0"/>
        <w:adjustRightInd w:val="0"/>
        <w:spacing w:before="0" w:beforeAutospacing="0" w:after="0" w:afterAutospacing="0" w:line="400" w:lineRule="exact"/>
        <w:ind w:left="0" w:right="32" w:firstLine="480" w:firstLineChars="200"/>
        <w:rPr>
          <w:rFonts w:hint="eastAsia" w:ascii="仿宋" w:hAnsi="仿宋" w:eastAsia="仿宋" w:cs="仿宋"/>
          <w:color w:val="000000"/>
          <w:sz w:val="24"/>
          <w:szCs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若分包人存在</w:t>
      </w:r>
      <w:r>
        <w:rPr>
          <w:rFonts w:hint="eastAsia" w:ascii="仿宋" w:hAnsi="仿宋" w:eastAsia="仿宋" w:cs="仿宋"/>
          <w:b w:val="0"/>
          <w:bCs w:val="0"/>
          <w:i w:val="0"/>
          <w:iCs w:val="0"/>
          <w:caps w:val="0"/>
          <w:color w:val="000000"/>
          <w:spacing w:val="0"/>
          <w:sz w:val="24"/>
          <w:szCs w:val="24"/>
          <w:highlight w:val="none"/>
          <w:shd w:val="clear"/>
          <w:lang w:eastAsia="zh"/>
        </w:rPr>
        <w:t>重大安全隐患未及时整改、多次违反文明施工规定、拒不配合安全检查</w:t>
      </w:r>
      <w:r>
        <w:rPr>
          <w:rFonts w:hint="eastAsia" w:ascii="仿宋" w:hAnsi="仿宋" w:eastAsia="仿宋" w:cs="仿宋"/>
          <w:i w:val="0"/>
          <w:iCs w:val="0"/>
          <w:caps w:val="0"/>
          <w:color w:val="000000"/>
          <w:spacing w:val="0"/>
          <w:sz w:val="24"/>
          <w:szCs w:val="24"/>
          <w:highlight w:val="none"/>
          <w:shd w:val="clear"/>
          <w:lang w:eastAsia="zh"/>
        </w:rPr>
        <w:t>等严重情形，承包人有权责令其</w:t>
      </w:r>
      <w:r>
        <w:rPr>
          <w:rFonts w:hint="eastAsia" w:ascii="仿宋" w:hAnsi="仿宋" w:eastAsia="仿宋" w:cs="仿宋"/>
          <w:b w:val="0"/>
          <w:bCs w:val="0"/>
          <w:i w:val="0"/>
          <w:iCs w:val="0"/>
          <w:caps w:val="0"/>
          <w:color w:val="000000"/>
          <w:spacing w:val="0"/>
          <w:sz w:val="24"/>
          <w:szCs w:val="24"/>
          <w:highlight w:val="none"/>
          <w:shd w:val="clear"/>
          <w:lang w:eastAsia="zh"/>
        </w:rPr>
        <w:t>立即停工整顿</w:t>
      </w:r>
      <w:r>
        <w:rPr>
          <w:rFonts w:hint="eastAsia" w:ascii="仿宋" w:hAnsi="仿宋" w:eastAsia="仿宋" w:cs="仿宋"/>
          <w:i w:val="0"/>
          <w:iCs w:val="0"/>
          <w:caps w:val="0"/>
          <w:color w:val="000000"/>
          <w:spacing w:val="0"/>
          <w:sz w:val="24"/>
          <w:szCs w:val="24"/>
          <w:highlight w:val="none"/>
          <w:shd w:val="clear"/>
          <w:lang w:eastAsia="zh"/>
        </w:rPr>
        <w:t>，停工期间产生的一切损失由分包人自行承担；停工整改完成后，需经承包人验收合格方可复工。</w:t>
      </w:r>
    </w:p>
    <w:p w14:paraId="15ED4E6C">
      <w:pPr>
        <w:keepNext w:val="0"/>
        <w:keepLines w:val="0"/>
        <w:widowControl/>
        <w:numPr>
          <w:ilvl w:val="-1"/>
          <w:numId w:val="0"/>
        </w:numPr>
        <w:suppressLineNumbers w:val="0"/>
        <w:pBdr>
          <w:left w:val="none" w:color="auto" w:sz="0" w:space="0"/>
        </w:pBdr>
        <w:autoSpaceDE w:val="0"/>
        <w:autoSpaceDN w:val="0"/>
        <w:adjustRightInd w:val="0"/>
        <w:spacing w:before="0" w:beforeAutospacing="0" w:after="0" w:afterAutospacing="0" w:line="400" w:lineRule="exact"/>
        <w:ind w:left="0" w:right="32" w:firstLine="480" w:firstLineChars="200"/>
        <w:rPr>
          <w:rFonts w:hint="eastAsia" w:ascii="仿宋" w:hAnsi="仿宋" w:eastAsia="仿宋" w:cs="仿宋"/>
          <w:color w:val="000000"/>
          <w:sz w:val="24"/>
          <w:szCs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合同中约定的安全文明施工措施费，分包人须</w:t>
      </w:r>
      <w:r>
        <w:rPr>
          <w:rFonts w:hint="eastAsia" w:ascii="仿宋" w:hAnsi="仿宋" w:eastAsia="仿宋" w:cs="仿宋"/>
          <w:b w:val="0"/>
          <w:bCs w:val="0"/>
          <w:i w:val="0"/>
          <w:iCs w:val="0"/>
          <w:caps w:val="0"/>
          <w:color w:val="000000"/>
          <w:spacing w:val="0"/>
          <w:sz w:val="24"/>
          <w:szCs w:val="24"/>
          <w:highlight w:val="none"/>
          <w:shd w:val="clear"/>
          <w:lang w:eastAsia="zh"/>
        </w:rPr>
        <w:t>单独列账、专款专用</w:t>
      </w:r>
      <w:r>
        <w:rPr>
          <w:rFonts w:hint="eastAsia" w:ascii="仿宋" w:hAnsi="仿宋" w:eastAsia="仿宋" w:cs="仿宋"/>
          <w:i w:val="0"/>
          <w:iCs w:val="0"/>
          <w:caps w:val="0"/>
          <w:color w:val="000000"/>
          <w:spacing w:val="0"/>
          <w:sz w:val="24"/>
          <w:szCs w:val="24"/>
          <w:highlight w:val="none"/>
          <w:shd w:val="clear"/>
          <w:lang w:eastAsia="zh"/>
        </w:rPr>
        <w:t>，用于购置安全防护用具、设置文明施工设施、开展安全教育培训等。承包人有权要求分包人定期（每月）提交安全文明施工费用使用明细，若发现挪用或未足额投入的情况，承包人可直接从应付工程款中扣除相应金额，并按挪用金额的 50% 收取违约金。​</w:t>
      </w:r>
    </w:p>
    <w:p w14:paraId="43BC59DD">
      <w:pPr>
        <w:keepNext w:val="0"/>
        <w:keepLines w:val="0"/>
        <w:widowControl/>
        <w:numPr>
          <w:ilvl w:val="-1"/>
          <w:numId w:val="0"/>
        </w:numPr>
        <w:suppressLineNumbers w:val="0"/>
        <w:pBdr>
          <w:left w:val="none" w:color="auto" w:sz="0" w:space="0"/>
        </w:pBdr>
        <w:autoSpaceDE w:val="0"/>
        <w:autoSpaceDN w:val="0"/>
        <w:adjustRightInd w:val="0"/>
        <w:spacing w:before="0" w:beforeAutospacing="0" w:after="0" w:afterAutospacing="0" w:line="400" w:lineRule="exact"/>
        <w:ind w:left="0" w:right="32" w:firstLine="480" w:firstLineChars="200"/>
        <w:rPr>
          <w:rFonts w:hint="eastAsia" w:ascii="仿宋" w:hAnsi="仿宋" w:eastAsia="仿宋" w:cs="仿宋"/>
          <w:color w:val="000000"/>
          <w:sz w:val="24"/>
          <w:szCs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若因政策法规变化、政府主管部门要求升级安全文明施工标准，导致费用增加的，经双方协商一致后可调整合同价款；因分包人管理不善导致安全文明施工措施不达标而产生的额外费用，由分包人自行承担。</w:t>
      </w:r>
    </w:p>
    <w:p w14:paraId="0D6BA828">
      <w:pPr>
        <w:widowControl/>
        <w:numPr>
          <w:ilvl w:val="-1"/>
          <w:numId w:val="0"/>
        </w:numPr>
        <w:pBdr>
          <w:left w:val="none" w:color="auto" w:sz="0" w:space="0"/>
        </w:pBdr>
        <w:autoSpaceDE w:val="0"/>
        <w:autoSpaceDN w:val="0"/>
        <w:adjustRightInd w:val="0"/>
        <w:spacing w:line="400" w:lineRule="exact"/>
        <w:ind w:right="32" w:firstLine="480" w:firstLineChars="200"/>
        <w:rPr>
          <w:rFonts w:hint="eastAsia" w:ascii="仿宋" w:hAnsi="仿宋" w:eastAsia="仿宋" w:cs="仿宋"/>
          <w:color w:val="000000"/>
          <w:sz w:val="24"/>
          <w:highlight w:val="none"/>
          <w:lang w:eastAsia="zh"/>
        </w:rPr>
      </w:pPr>
      <w:r>
        <w:rPr>
          <w:rFonts w:hint="eastAsia" w:ascii="仿宋" w:hAnsi="仿宋" w:eastAsia="仿宋" w:cs="仿宋"/>
          <w:i w:val="0"/>
          <w:iCs w:val="0"/>
          <w:caps w:val="0"/>
          <w:color w:val="000000"/>
          <w:spacing w:val="0"/>
          <w:sz w:val="24"/>
          <w:szCs w:val="24"/>
          <w:highlight w:val="none"/>
          <w:shd w:val="clear"/>
          <w:lang w:eastAsia="zh"/>
        </w:rPr>
        <w:t>若分包工程的安全文明施工问题导致承包人被发包人扣除履约保证金、处以罚款或影响承包人企业信用评级，分包人应全额赔偿承包人的经济损失，并按损失金额的20% 向承包人支付违约金；同时，承包人有权在后续项目合作中降低分包人信用等级或取消其投标资格。</w:t>
      </w:r>
    </w:p>
    <w:p w14:paraId="7EBD08C0">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b w:val="0"/>
          <w:bCs/>
          <w:color w:val="000000"/>
          <w:sz w:val="24"/>
          <w:highlight w:val="none"/>
        </w:rPr>
        <w:t xml:space="preserve">③ </w:t>
      </w:r>
      <w:r>
        <w:rPr>
          <w:rFonts w:hint="eastAsia" w:ascii="仿宋" w:hAnsi="仿宋" w:eastAsia="仿宋" w:cs="仿宋"/>
          <w:color w:val="000000"/>
          <w:sz w:val="24"/>
          <w:highlight w:val="none"/>
        </w:rPr>
        <w:t>非双方原因，包括但不限于主管机构规划调整、行政审批或其他单位或和个人对施工的阻扰与</w:t>
      </w:r>
      <w:bookmarkEnd w:id="189"/>
      <w:r>
        <w:rPr>
          <w:rFonts w:hint="eastAsia" w:ascii="仿宋" w:hAnsi="仿宋" w:eastAsia="仿宋" w:cs="仿宋"/>
          <w:color w:val="000000"/>
          <w:sz w:val="24"/>
          <w:highlight w:val="none"/>
        </w:rPr>
        <w:t>干扰及其不可抗力的自然事件致使合同终止或和工期延误的，双方按实际工作量并依本合同标准予以结算，同时双方互不承担违约责任或给予经济补偿。</w:t>
      </w:r>
    </w:p>
    <w:p w14:paraId="0CF8EA11">
      <w:pPr>
        <w:spacing w:line="40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④分包人承诺以本方自有人员、设施等完成本合同全部工作，不存在对外转包、挂靠等情形，对本方施工人员均按劳动合同或和劳务合同规定和约定发放劳动报酬申办保险等事宜，本承诺如有虚假或和因此发生挂靠、转包施工主体（含实际施工人）向分包人或和分包人的发包方诉讼或和信访主张权利时，每发生一次，向承包人给付</w:t>
      </w:r>
      <w:r>
        <w:rPr>
          <w:rFonts w:hint="eastAsia" w:ascii="仿宋" w:hAnsi="仿宋" w:eastAsia="仿宋" w:cs="仿宋"/>
          <w:color w:val="auto"/>
          <w:sz w:val="24"/>
          <w:highlight w:val="none"/>
          <w:u w:val="single"/>
          <w:lang w:val="en-US" w:eastAsia="zh-CN"/>
        </w:rPr>
        <w:t>xx</w:t>
      </w:r>
      <w:r>
        <w:rPr>
          <w:rFonts w:hint="eastAsia" w:ascii="仿宋" w:hAnsi="仿宋" w:eastAsia="仿宋" w:cs="仿宋"/>
          <w:color w:val="auto"/>
          <w:sz w:val="24"/>
          <w:highlight w:val="none"/>
          <w:lang w:val="en-US" w:eastAsia="zh-CN"/>
        </w:rPr>
        <w:t>万元违约金。</w:t>
      </w:r>
    </w:p>
    <w:p w14:paraId="6EA6D87E">
      <w:pPr>
        <w:spacing w:line="400" w:lineRule="exact"/>
        <w:ind w:firstLine="482" w:firstLineChars="200"/>
        <w:rPr>
          <w:rFonts w:ascii="仿宋" w:hAnsi="仿宋" w:eastAsia="仿宋" w:cs="仿宋"/>
          <w:b/>
          <w:bCs/>
          <w:color w:val="000000"/>
          <w:sz w:val="24"/>
          <w:highlight w:val="none"/>
        </w:rPr>
      </w:pPr>
      <w:r>
        <w:rPr>
          <w:rFonts w:hint="eastAsia" w:ascii="仿宋" w:hAnsi="仿宋" w:eastAsia="仿宋" w:cs="仿宋"/>
          <w:b/>
          <w:color w:val="000000"/>
          <w:sz w:val="24"/>
          <w:highlight w:val="none"/>
        </w:rPr>
        <w:t>六、</w:t>
      </w:r>
      <w:r>
        <w:rPr>
          <w:rFonts w:hint="eastAsia" w:ascii="仿宋" w:hAnsi="仿宋" w:eastAsia="仿宋" w:cs="仿宋"/>
          <w:b/>
          <w:bCs/>
          <w:color w:val="000000"/>
          <w:sz w:val="24"/>
          <w:highlight w:val="none"/>
        </w:rPr>
        <w:t>质量检查、验收及保修</w:t>
      </w:r>
    </w:p>
    <w:p w14:paraId="6BD8EF4C">
      <w:pPr>
        <w:spacing w:line="400" w:lineRule="exact"/>
        <w:ind w:firstLine="480" w:firstLineChars="200"/>
        <w:rPr>
          <w:rFonts w:hint="eastAsia" w:ascii="仿宋" w:hAnsi="仿宋" w:eastAsia="仿宋" w:cs="仿宋"/>
          <w:color w:val="000000"/>
          <w:sz w:val="24"/>
          <w:highlight w:val="none"/>
          <w:lang w:eastAsia="zh"/>
        </w:rPr>
      </w:pPr>
      <w:bookmarkStart w:id="190" w:name="auto_fouce_2"/>
      <w:r>
        <w:rPr>
          <w:rFonts w:hint="eastAsia" w:ascii="仿宋" w:hAnsi="仿宋" w:eastAsia="仿宋" w:cs="仿宋"/>
          <w:color w:val="000000"/>
          <w:sz w:val="24"/>
          <w:highlight w:val="none"/>
        </w:rPr>
        <w:t>1、本分包工程质量标准</w:t>
      </w:r>
      <w:r>
        <w:rPr>
          <w:rFonts w:hint="eastAsia" w:ascii="仿宋" w:hAnsi="仿宋" w:eastAsia="仿宋" w:cs="仿宋"/>
          <w:color w:val="000000"/>
          <w:sz w:val="24"/>
          <w:highlight w:val="none"/>
          <w:lang w:eastAsia="zh"/>
        </w:rPr>
        <w:t>应当符合国家、行业现行的质量验收规范、标准及规程，并达到总包合同</w:t>
      </w:r>
      <w:r>
        <w:rPr>
          <w:rFonts w:hint="eastAsia" w:ascii="仿宋" w:hAnsi="仿宋" w:eastAsia="仿宋" w:cs="仿宋"/>
          <w:color w:val="000000"/>
          <w:sz w:val="24"/>
          <w:highlight w:val="none"/>
        </w:rPr>
        <w:t>约定</w:t>
      </w:r>
      <w:r>
        <w:rPr>
          <w:rFonts w:hint="eastAsia" w:ascii="仿宋" w:hAnsi="仿宋" w:eastAsia="仿宋" w:cs="仿宋"/>
          <w:color w:val="000000"/>
          <w:sz w:val="24"/>
          <w:highlight w:val="none"/>
          <w:lang w:eastAsia="zh"/>
        </w:rPr>
        <w:t>的质量标准。具体执行标准包括但不限于：</w:t>
      </w:r>
    </w:p>
    <w:p w14:paraId="5D9A2551">
      <w:pPr>
        <w:spacing w:line="400" w:lineRule="exact"/>
        <w:ind w:firstLine="480" w:firstLineChars="200"/>
        <w:rPr>
          <w:rFonts w:hint="eastAsia" w:ascii="仿宋" w:hAnsi="仿宋" w:eastAsia="仿宋" w:cs="仿宋"/>
          <w:color w:val="000000"/>
          <w:sz w:val="24"/>
          <w:highlight w:val="none"/>
          <w:lang w:eastAsia="zh"/>
        </w:rPr>
      </w:pPr>
      <w:r>
        <w:rPr>
          <w:rFonts w:hint="eastAsia" w:ascii="仿宋" w:hAnsi="仿宋" w:eastAsia="仿宋" w:cs="仿宋"/>
          <w:color w:val="000000"/>
          <w:sz w:val="24"/>
          <w:highlight w:val="none"/>
          <w:lang w:eastAsia="zh"/>
        </w:rPr>
        <w:t>（1）《建筑工程施工质量验收统一标准》(GB50300-2013)；</w:t>
      </w:r>
    </w:p>
    <w:p w14:paraId="5C1F348A">
      <w:pPr>
        <w:spacing w:line="400" w:lineRule="exact"/>
        <w:ind w:firstLine="480" w:firstLineChars="200"/>
        <w:rPr>
          <w:rFonts w:hint="eastAsia" w:ascii="仿宋" w:hAnsi="仿宋" w:eastAsia="仿宋" w:cs="仿宋"/>
          <w:color w:val="000000"/>
          <w:sz w:val="24"/>
          <w:highlight w:val="none"/>
          <w:lang w:eastAsia="zh"/>
        </w:rPr>
      </w:pPr>
      <w:r>
        <w:rPr>
          <w:rFonts w:hint="eastAsia" w:ascii="仿宋" w:hAnsi="仿宋" w:eastAsia="仿宋" w:cs="仿宋"/>
          <w:color w:val="000000"/>
          <w:sz w:val="24"/>
          <w:highlight w:val="none"/>
          <w:lang w:eastAsia="zh"/>
        </w:rPr>
        <w:t>（2）总包合同约定的质量标准；</w:t>
      </w:r>
    </w:p>
    <w:p w14:paraId="56AEF43B">
      <w:pPr>
        <w:spacing w:line="400" w:lineRule="exact"/>
        <w:ind w:firstLine="480" w:firstLineChars="200"/>
        <w:rPr>
          <w:rFonts w:hint="eastAsia" w:ascii="仿宋" w:hAnsi="仿宋" w:eastAsia="仿宋" w:cs="仿宋"/>
          <w:color w:val="000000"/>
          <w:sz w:val="24"/>
          <w:highlight w:val="none"/>
          <w:lang w:eastAsia="zh"/>
        </w:rPr>
      </w:pPr>
      <w:r>
        <w:rPr>
          <w:rFonts w:hint="eastAsia" w:ascii="仿宋" w:hAnsi="仿宋" w:eastAsia="仿宋" w:cs="仿宋"/>
          <w:color w:val="000000"/>
          <w:sz w:val="24"/>
          <w:highlight w:val="none"/>
          <w:lang w:eastAsia="zh"/>
        </w:rPr>
        <w:t>（3）发包人及监理单位制定的相关质量标准。</w:t>
      </w:r>
    </w:p>
    <w:p w14:paraId="14DA44B3">
      <w:pPr>
        <w:spacing w:line="400" w:lineRule="exact"/>
        <w:ind w:firstLine="480" w:firstLineChars="200"/>
        <w:rPr>
          <w:rFonts w:hint="eastAsia" w:ascii="仿宋" w:hAnsi="仿宋" w:eastAsia="仿宋" w:cs="仿宋"/>
          <w:color w:val="000000"/>
          <w:sz w:val="24"/>
          <w:highlight w:val="none"/>
          <w:lang w:eastAsia="zh"/>
        </w:rPr>
      </w:pPr>
      <w:r>
        <w:rPr>
          <w:rFonts w:hint="eastAsia" w:ascii="仿宋" w:hAnsi="仿宋" w:eastAsia="仿宋" w:cs="仿宋"/>
          <w:color w:val="000000"/>
          <w:sz w:val="24"/>
          <w:highlight w:val="none"/>
          <w:lang w:eastAsia="zh"/>
        </w:rPr>
        <w:t>当对质量标准理解存在分歧时，以总包合同约定</w:t>
      </w:r>
      <w:r>
        <w:rPr>
          <w:rFonts w:hint="eastAsia" w:ascii="仿宋" w:hAnsi="仿宋" w:eastAsia="仿宋" w:cs="仿宋"/>
          <w:color w:val="000000"/>
          <w:sz w:val="24"/>
          <w:highlight w:val="none"/>
        </w:rPr>
        <w:t>为</w:t>
      </w:r>
      <w:r>
        <w:rPr>
          <w:rFonts w:hint="eastAsia" w:ascii="仿宋" w:hAnsi="仿宋" w:eastAsia="仿宋" w:cs="仿宋"/>
          <w:color w:val="000000"/>
          <w:sz w:val="24"/>
          <w:highlight w:val="none"/>
          <w:lang w:eastAsia="zh"/>
        </w:rPr>
        <w:t>准。</w:t>
      </w:r>
      <w:bookmarkEnd w:id="190"/>
    </w:p>
    <w:p w14:paraId="413BF4E3">
      <w:pPr>
        <w:numPr>
          <w:ilvl w:val="0"/>
          <w:numId w:val="6"/>
        </w:num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分包人向承包人承诺，履行总包合同中与分包工程有关的承包人的所有义务，并与承包人承担履行分包工程合同以及确保分包工程质量的连带责任，并在质量保修期内承担保修责任。</w:t>
      </w:r>
    </w:p>
    <w:p w14:paraId="19F9DC38">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本合同工程质量保修期为</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rPr>
        <w:t>年。</w:t>
      </w:r>
    </w:p>
    <w:p w14:paraId="4BD7567A">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3、保修期内，分包人负责免费修理。分包人应于接到承包人报修电话之时起</w:t>
      </w:r>
      <w:r>
        <w:rPr>
          <w:rFonts w:hint="eastAsia" w:ascii="仿宋" w:hAnsi="仿宋" w:eastAsia="仿宋" w:cs="仿宋"/>
          <w:color w:val="000000"/>
          <w:sz w:val="24"/>
          <w:highlight w:val="none"/>
          <w:u w:val="single"/>
        </w:rPr>
        <w:t>48</w:t>
      </w:r>
      <w:r>
        <w:rPr>
          <w:rFonts w:hint="eastAsia" w:ascii="仿宋" w:hAnsi="仿宋" w:eastAsia="仿宋" w:cs="仿宋"/>
          <w:color w:val="000000"/>
          <w:sz w:val="24"/>
          <w:highlight w:val="none"/>
        </w:rPr>
        <w:t>小时内响应，</w:t>
      </w:r>
      <w:r>
        <w:rPr>
          <w:rFonts w:hint="eastAsia" w:ascii="仿宋" w:hAnsi="仿宋" w:eastAsia="仿宋" w:cs="仿宋"/>
          <w:color w:val="000000"/>
          <w:sz w:val="24"/>
          <w:highlight w:val="none"/>
          <w:u w:val="single"/>
        </w:rPr>
        <w:t>72</w:t>
      </w:r>
      <w:r>
        <w:rPr>
          <w:rFonts w:hint="eastAsia" w:ascii="仿宋" w:hAnsi="仿宋" w:eastAsia="仿宋" w:cs="仿宋"/>
          <w:color w:val="000000"/>
          <w:sz w:val="24"/>
          <w:highlight w:val="none"/>
        </w:rPr>
        <w:t>小时内修理完毕。分包人未在规定期限内响应或和未在规定期限内修理完毕的，承包人有权另行委托第三方予以维修。因此产生的一切费用承包人有权直接从质保金中扣除，不足部分，分包人负责补足。保修期满后，分包人提供有偿维修服务。</w:t>
      </w:r>
    </w:p>
    <w:p w14:paraId="19F8E80B">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七、合同价款与支付</w:t>
      </w:r>
    </w:p>
    <w:p w14:paraId="03C44DE1">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1、合同价款及其调整</w:t>
      </w:r>
    </w:p>
    <w:p w14:paraId="1C92D052">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1.1本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价款采用</w:t>
      </w:r>
      <w:r>
        <w:rPr>
          <w:rFonts w:hint="eastAsia" w:ascii="仿宋" w:hAnsi="仿宋" w:eastAsia="仿宋" w:cs="仿宋"/>
          <w:color w:val="000000"/>
          <w:sz w:val="24"/>
          <w:highlight w:val="none"/>
          <w:lang w:eastAsia="zh-CN"/>
        </w:rPr>
        <w:t>以下第</w:t>
      </w:r>
      <w:r>
        <w:rPr>
          <w:rFonts w:hint="eastAsia" w:ascii="仿宋" w:hAnsi="仿宋" w:eastAsia="仿宋" w:cs="仿宋"/>
          <w:color w:val="000000"/>
          <w:sz w:val="24"/>
          <w:highlight w:val="none"/>
          <w:lang w:val="en-US" w:eastAsia="zh-CN"/>
        </w:rPr>
        <w:t>_____________________</w:t>
      </w:r>
      <w:r>
        <w:rPr>
          <w:rFonts w:hint="eastAsia" w:ascii="仿宋" w:hAnsi="仿宋" w:eastAsia="仿宋" w:cs="仿宋"/>
          <w:color w:val="000000"/>
          <w:sz w:val="24"/>
          <w:highlight w:val="none"/>
        </w:rPr>
        <w:t>方式确定。</w:t>
      </w:r>
    </w:p>
    <w:p w14:paraId="3EE8A7F5">
      <w:pPr>
        <w:spacing w:line="400" w:lineRule="exact"/>
        <w:ind w:firstLine="482" w:firstLineChars="200"/>
        <w:rPr>
          <w:rFonts w:ascii="仿宋" w:hAnsi="仿宋" w:eastAsia="仿宋" w:cs="仿宋"/>
          <w:color w:val="000000"/>
          <w:sz w:val="24"/>
          <w:highlight w:val="none"/>
        </w:rPr>
      </w:pPr>
      <w:r>
        <w:rPr>
          <w:rFonts w:hint="eastAsia" w:ascii="仿宋" w:hAnsi="仿宋" w:eastAsia="仿宋" w:cs="仿宋"/>
          <w:b/>
          <w:bCs/>
          <w:color w:val="000000"/>
          <w:sz w:val="24"/>
          <w:highlight w:val="none"/>
        </w:rPr>
        <w:t>（1）采用固定</w:t>
      </w:r>
      <w:r>
        <w:rPr>
          <w:rFonts w:hint="eastAsia" w:ascii="仿宋" w:hAnsi="仿宋" w:eastAsia="仿宋" w:cs="仿宋"/>
          <w:b/>
          <w:bCs/>
          <w:color w:val="auto"/>
          <w:sz w:val="24"/>
          <w:highlight w:val="none"/>
          <w:lang w:val="en-US" w:eastAsia="zh-CN"/>
        </w:rPr>
        <w:t>总价</w:t>
      </w:r>
      <w:r>
        <w:rPr>
          <w:rFonts w:hint="eastAsia" w:ascii="仿宋" w:hAnsi="仿宋" w:eastAsia="仿宋" w:cs="仿宋"/>
          <w:b/>
          <w:bCs/>
          <w:color w:val="000000"/>
          <w:sz w:val="24"/>
          <w:highlight w:val="none"/>
        </w:rPr>
        <w:t>合同</w:t>
      </w:r>
      <w:r>
        <w:rPr>
          <w:rFonts w:hint="eastAsia" w:ascii="仿宋" w:hAnsi="仿宋" w:eastAsia="仿宋" w:cs="仿宋"/>
          <w:color w:val="000000"/>
          <w:sz w:val="24"/>
          <w:highlight w:val="none"/>
        </w:rPr>
        <w:t>，合同价款包括的风险范围：本</w:t>
      </w:r>
      <w:r>
        <w:rPr>
          <w:rFonts w:hint="eastAsia" w:ascii="仿宋" w:hAnsi="仿宋" w:eastAsia="仿宋" w:cs="仿宋"/>
          <w:bCs/>
          <w:color w:val="000000"/>
          <w:sz w:val="24"/>
          <w:highlight w:val="none"/>
        </w:rPr>
        <w:t>合同</w:t>
      </w:r>
      <w:r>
        <w:rPr>
          <w:rFonts w:hint="eastAsia" w:ascii="仿宋" w:hAnsi="仿宋" w:eastAsia="仿宋" w:cs="仿宋"/>
          <w:color w:val="000000"/>
          <w:sz w:val="24"/>
          <w:highlight w:val="none"/>
        </w:rPr>
        <w:t>合同价款固定总价不变，不因法律法规的修改与调整、物价变化、人工费调整、履行合同时间、政府主管机构的各类通知与要求等而调整和改变。分包图纸范围无重大变更时（即指分包图纸范围变更所致的工程量变更不超过原工程量的</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），不调增合同总价；施工现场因素及施工工期因素亦不作为调增总价的条件。</w:t>
      </w:r>
    </w:p>
    <w:p w14:paraId="6CD24D51">
      <w:pPr>
        <w:spacing w:line="400" w:lineRule="exact"/>
        <w:ind w:firstLine="480" w:firstLineChars="200"/>
        <w:rPr>
          <w:rFonts w:ascii="仿宋" w:hAnsi="仿宋" w:eastAsia="仿宋" w:cs="仿宋"/>
          <w:color w:val="000000"/>
          <w:sz w:val="24"/>
          <w:highlight w:val="none"/>
        </w:rPr>
      </w:pPr>
      <w:bookmarkStart w:id="191" w:name="auto_fouce_3"/>
      <w:r>
        <w:rPr>
          <w:rFonts w:hint="eastAsia" w:ascii="仿宋" w:hAnsi="仿宋" w:eastAsia="仿宋" w:cs="仿宋"/>
          <w:color w:val="000000"/>
          <w:sz w:val="24"/>
          <w:highlight w:val="none"/>
        </w:rPr>
        <w:t>增加工程必须以承包人书面指令分包人承担本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约定的承包范围以外的工程。</w:t>
      </w:r>
      <w:r>
        <w:rPr>
          <w:rFonts w:hint="eastAsia" w:ascii="仿宋" w:hAnsi="仿宋" w:eastAsia="仿宋" w:cs="仿宋"/>
          <w:color w:val="000000"/>
          <w:sz w:val="24"/>
          <w:highlight w:val="none"/>
          <w:lang w:eastAsia="zh"/>
        </w:rPr>
        <w:t>工程变更应遵循如下程序：</w:t>
      </w:r>
      <w:r>
        <w:rPr>
          <w:rFonts w:hint="eastAsia" w:ascii="仿宋" w:hAnsi="仿宋" w:eastAsia="仿宋" w:cs="仿宋"/>
          <w:color w:val="000000"/>
          <w:sz w:val="24"/>
          <w:highlight w:val="none"/>
        </w:rPr>
        <w:t>承包人以加盖承包人公章的增加工程通知单的形式通知分包人。只有经承包人签署确认并加盖承包人公章的增加工程通知单、工程变更通知单及经承包人加盖公章的现场签证单才是唯一有效的调整本分包工程的工程量并作为工程价款结算的依据。</w:t>
      </w:r>
    </w:p>
    <w:p w14:paraId="4A4D2844">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增加工程计价方式：</w:t>
      </w:r>
    </w:p>
    <w:p w14:paraId="4429A7A8">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A、若本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中已有适用于变更工程的价格，按本</w:t>
      </w:r>
      <w:r>
        <w:rPr>
          <w:rFonts w:hint="eastAsia" w:ascii="仿宋" w:hAnsi="仿宋" w:eastAsia="仿宋" w:cs="仿宋"/>
          <w:bCs/>
          <w:color w:val="000000"/>
          <w:sz w:val="24"/>
          <w:highlight w:val="none"/>
        </w:rPr>
        <w:t>合</w:t>
      </w:r>
      <w:bookmarkEnd w:id="191"/>
      <w:r>
        <w:rPr>
          <w:rFonts w:hint="eastAsia" w:ascii="仿宋" w:hAnsi="仿宋" w:eastAsia="仿宋" w:cs="仿宋"/>
          <w:bCs/>
          <w:color w:val="000000"/>
          <w:sz w:val="24"/>
          <w:highlight w:val="none"/>
        </w:rPr>
        <w:t>同书</w:t>
      </w:r>
      <w:r>
        <w:rPr>
          <w:rFonts w:hint="eastAsia" w:ascii="仿宋" w:hAnsi="仿宋" w:eastAsia="仿宋" w:cs="仿宋"/>
          <w:color w:val="000000"/>
          <w:sz w:val="24"/>
          <w:highlight w:val="none"/>
        </w:rPr>
        <w:t>已有的价格变更合同价款；</w:t>
      </w:r>
    </w:p>
    <w:p w14:paraId="43FBC57B">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B、若本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中只有类似于变更工程的价格，可以参照类似价格变更合同价款；</w:t>
      </w:r>
    </w:p>
    <w:p w14:paraId="259272C9">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C、若本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没有适用或类似于变更工程的价格，</w:t>
      </w:r>
      <w:r>
        <w:rPr>
          <w:rFonts w:hint="eastAsia" w:ascii="仿宋" w:hAnsi="仿宋" w:eastAsia="仿宋" w:cs="仿宋"/>
          <w:color w:val="000000"/>
          <w:sz w:val="24"/>
          <w:highlight w:val="none"/>
          <w:u w:val="single"/>
        </w:rPr>
        <w:t>按     定额下浮    %</w:t>
      </w:r>
      <w:r>
        <w:rPr>
          <w:rFonts w:hint="eastAsia" w:ascii="仿宋" w:hAnsi="仿宋" w:eastAsia="仿宋" w:cs="仿宋"/>
          <w:color w:val="000000"/>
          <w:sz w:val="24"/>
          <w:highlight w:val="none"/>
        </w:rPr>
        <w:t xml:space="preserve">：                              </w:t>
      </w:r>
    </w:p>
    <w:p w14:paraId="406EBFED">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风险费用的计算方法：  </w:t>
      </w:r>
      <w:r>
        <w:rPr>
          <w:rFonts w:hint="eastAsia" w:ascii="仿宋" w:hAnsi="仿宋" w:eastAsia="仿宋" w:cs="仿宋"/>
          <w:color w:val="000000"/>
          <w:sz w:val="24"/>
          <w:highlight w:val="none"/>
          <w:u w:val="single"/>
        </w:rPr>
        <w:t xml:space="preserve">已包含在分包合同总价款内 </w:t>
      </w:r>
    </w:p>
    <w:p w14:paraId="4CC9CD0A">
      <w:pPr>
        <w:spacing w:line="400" w:lineRule="exact"/>
        <w:ind w:firstLine="480" w:firstLineChars="2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风险范围以外合同价款调整方法：</w:t>
      </w:r>
      <w:r>
        <w:rPr>
          <w:rFonts w:hint="eastAsia" w:ascii="仿宋" w:hAnsi="仿宋" w:eastAsia="仿宋" w:cs="仿宋"/>
          <w:color w:val="000000"/>
          <w:sz w:val="24"/>
          <w:highlight w:val="none"/>
          <w:u w:val="single"/>
        </w:rPr>
        <w:t>不采用，本</w:t>
      </w:r>
      <w:r>
        <w:rPr>
          <w:rFonts w:hint="eastAsia" w:ascii="仿宋" w:hAnsi="仿宋" w:eastAsia="仿宋" w:cs="仿宋"/>
          <w:bCs/>
          <w:color w:val="000000"/>
          <w:sz w:val="24"/>
          <w:highlight w:val="none"/>
          <w:u w:val="single"/>
        </w:rPr>
        <w:t>合同书</w:t>
      </w:r>
      <w:r>
        <w:rPr>
          <w:rFonts w:hint="eastAsia" w:ascii="仿宋" w:hAnsi="仿宋" w:eastAsia="仿宋" w:cs="仿宋"/>
          <w:color w:val="000000"/>
          <w:sz w:val="24"/>
          <w:highlight w:val="none"/>
          <w:u w:val="single"/>
        </w:rPr>
        <w:t>执行固定单价和上述确定的工程变更价格，合同价款不再因任何理由与风险而调整。</w:t>
      </w:r>
    </w:p>
    <w:p w14:paraId="322065D5">
      <w:pPr>
        <w:spacing w:line="400" w:lineRule="exact"/>
        <w:ind w:left="0" w:leftChars="0" w:firstLine="482" w:firstLineChars="200"/>
        <w:rPr>
          <w:rFonts w:hint="eastAsia" w:ascii="仿宋" w:hAnsi="仿宋" w:eastAsia="仿宋" w:cs="仿宋"/>
          <w:b w:val="0"/>
          <w:bCs w:val="0"/>
          <w:color w:val="000000"/>
          <w:sz w:val="24"/>
          <w:highlight w:val="none"/>
        </w:rPr>
      </w:pPr>
      <w:r>
        <w:rPr>
          <w:rFonts w:hint="eastAsia" w:ascii="仿宋" w:hAnsi="仿宋" w:eastAsia="仿宋" w:cs="仿宋"/>
          <w:b/>
          <w:bCs/>
          <w:color w:val="000000"/>
          <w:sz w:val="24"/>
          <w:highlight w:val="none"/>
        </w:rPr>
        <w:t>（2）采用固定单价合同</w:t>
      </w:r>
      <w:r>
        <w:rPr>
          <w:rFonts w:hint="eastAsia" w:ascii="仿宋" w:hAnsi="仿宋" w:eastAsia="仿宋" w:cs="仿宋"/>
          <w:b/>
          <w:bCs/>
          <w:color w:val="000000"/>
          <w:sz w:val="24"/>
          <w:highlight w:val="none"/>
          <w:lang w:eastAsia="zh-CN"/>
        </w:rPr>
        <w:t>，</w:t>
      </w:r>
      <w:r>
        <w:rPr>
          <w:rFonts w:hint="eastAsia" w:ascii="仿宋" w:hAnsi="仿宋" w:eastAsia="仿宋" w:cs="仿宋"/>
          <w:b w:val="0"/>
          <w:bCs w:val="0"/>
          <w:color w:val="000000"/>
          <w:sz w:val="24"/>
          <w:highlight w:val="none"/>
        </w:rPr>
        <w:t>具体价目表详见附件XXX项目报价单。</w:t>
      </w:r>
    </w:p>
    <w:p w14:paraId="06C8ADD2">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合同价款中包括的风险范围:包括但不限于在合同履行过程中成本的变动(人工、材料、设备价格变化)、法律法规变化、政府政策性调整等费用风险。在风险范围内，此单价不做调整。</w:t>
      </w:r>
    </w:p>
    <w:p w14:paraId="1348C2D6">
      <w:pPr>
        <w:snapToGrid w:val="0"/>
        <w:spacing w:line="400" w:lineRule="exact"/>
        <w:ind w:firstLine="482" w:firstLineChars="200"/>
        <w:rPr>
          <w:rFonts w:ascii="仿宋" w:hAnsi="仿宋" w:eastAsia="仿宋" w:cs="仿宋"/>
          <w:color w:val="000000"/>
          <w:sz w:val="24"/>
          <w:highlight w:val="none"/>
        </w:rPr>
      </w:pPr>
      <w:r>
        <w:rPr>
          <w:rFonts w:hint="eastAsia" w:ascii="仿宋" w:hAnsi="仿宋" w:eastAsia="仿宋" w:cs="仿宋"/>
          <w:b/>
          <w:bCs/>
          <w:color w:val="000000"/>
          <w:sz w:val="24"/>
          <w:highlight w:val="none"/>
        </w:rPr>
        <w:t>（</w:t>
      </w:r>
      <w:r>
        <w:rPr>
          <w:rFonts w:hint="eastAsia" w:ascii="仿宋" w:hAnsi="仿宋" w:eastAsia="仿宋" w:cs="仿宋"/>
          <w:b/>
          <w:bCs/>
          <w:color w:val="000000"/>
          <w:sz w:val="24"/>
          <w:highlight w:val="none"/>
          <w:lang w:val="en-US" w:eastAsia="zh-CN"/>
        </w:rPr>
        <w:t>3</w:t>
      </w:r>
      <w:r>
        <w:rPr>
          <w:rFonts w:hint="eastAsia" w:ascii="仿宋" w:hAnsi="仿宋" w:eastAsia="仿宋" w:cs="仿宋"/>
          <w:b/>
          <w:bCs/>
          <w:color w:val="000000"/>
          <w:sz w:val="24"/>
          <w:highlight w:val="none"/>
        </w:rPr>
        <w:t>）采用可调价格合同</w:t>
      </w:r>
      <w:r>
        <w:rPr>
          <w:rFonts w:hint="eastAsia" w:ascii="仿宋" w:hAnsi="仿宋" w:eastAsia="仿宋" w:cs="仿宋"/>
          <w:color w:val="000000"/>
          <w:sz w:val="24"/>
          <w:highlight w:val="none"/>
        </w:rPr>
        <w:t>，合同价款调整方法：</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 xml:space="preserve">。                        </w:t>
      </w:r>
    </w:p>
    <w:p w14:paraId="281E847C">
      <w:pPr>
        <w:spacing w:line="400" w:lineRule="exact"/>
        <w:ind w:firstLine="482" w:firstLineChars="200"/>
        <w:rPr>
          <w:rFonts w:ascii="仿宋" w:hAnsi="仿宋" w:eastAsia="仿宋" w:cs="仿宋"/>
          <w:color w:val="000000"/>
          <w:sz w:val="24"/>
          <w:highlight w:val="none"/>
        </w:rPr>
      </w:pPr>
      <w:r>
        <w:rPr>
          <w:rFonts w:hint="eastAsia" w:ascii="仿宋" w:hAnsi="仿宋" w:eastAsia="仿宋" w:cs="仿宋"/>
          <w:b/>
          <w:bCs/>
          <w:color w:val="000000"/>
          <w:sz w:val="24"/>
          <w:highlight w:val="none"/>
        </w:rPr>
        <w:t>（</w:t>
      </w:r>
      <w:r>
        <w:rPr>
          <w:rFonts w:hint="eastAsia" w:ascii="仿宋" w:hAnsi="仿宋" w:eastAsia="仿宋" w:cs="仿宋"/>
          <w:b/>
          <w:bCs/>
          <w:color w:val="000000"/>
          <w:sz w:val="24"/>
          <w:highlight w:val="none"/>
          <w:lang w:val="en-US" w:eastAsia="zh-CN"/>
        </w:rPr>
        <w:t>4</w:t>
      </w:r>
      <w:r>
        <w:rPr>
          <w:rFonts w:hint="eastAsia" w:ascii="仿宋" w:hAnsi="仿宋" w:eastAsia="仿宋" w:cs="仿宋"/>
          <w:b/>
          <w:bCs/>
          <w:color w:val="000000"/>
          <w:sz w:val="24"/>
          <w:highlight w:val="none"/>
        </w:rPr>
        <w:t>）采用成本加酬金合同</w:t>
      </w:r>
      <w:r>
        <w:rPr>
          <w:rFonts w:hint="eastAsia" w:ascii="仿宋" w:hAnsi="仿宋" w:eastAsia="仿宋" w:cs="仿宋"/>
          <w:color w:val="000000"/>
          <w:sz w:val="24"/>
          <w:highlight w:val="none"/>
        </w:rPr>
        <w:t xml:space="preserve">，有关成本和酬金的约定：。  </w:t>
      </w:r>
    </w:p>
    <w:p w14:paraId="0F840FA7">
      <w:pPr>
        <w:spacing w:line="400" w:lineRule="exact"/>
        <w:ind w:firstLine="482" w:firstLineChars="200"/>
        <w:rPr>
          <w:rFonts w:ascii="仿宋" w:hAnsi="仿宋" w:eastAsia="仿宋" w:cs="仿宋"/>
          <w:color w:val="000000"/>
          <w:sz w:val="24"/>
          <w:highlight w:val="none"/>
        </w:rPr>
      </w:pPr>
      <w:r>
        <w:rPr>
          <w:rFonts w:hint="eastAsia" w:ascii="仿宋" w:hAnsi="仿宋" w:eastAsia="仿宋" w:cs="仿宋"/>
          <w:b/>
          <w:bCs/>
          <w:color w:val="000000"/>
          <w:sz w:val="24"/>
          <w:highlight w:val="none"/>
        </w:rPr>
        <w:t>（</w:t>
      </w:r>
      <w:r>
        <w:rPr>
          <w:rFonts w:hint="eastAsia" w:ascii="仿宋" w:hAnsi="仿宋" w:eastAsia="仿宋" w:cs="仿宋"/>
          <w:b/>
          <w:bCs/>
          <w:color w:val="000000"/>
          <w:sz w:val="24"/>
          <w:highlight w:val="none"/>
          <w:lang w:val="en-US" w:eastAsia="zh-CN"/>
        </w:rPr>
        <w:t>5</w:t>
      </w:r>
      <w:r>
        <w:rPr>
          <w:rFonts w:hint="eastAsia" w:ascii="仿宋" w:hAnsi="仿宋" w:eastAsia="仿宋" w:cs="仿宋"/>
          <w:b/>
          <w:bCs/>
          <w:color w:val="000000"/>
          <w:sz w:val="24"/>
          <w:highlight w:val="none"/>
        </w:rPr>
        <w:t>）采用固定劳务报酬（含管理费）</w:t>
      </w:r>
      <w:r>
        <w:rPr>
          <w:rFonts w:hint="eastAsia" w:ascii="仿宋" w:hAnsi="仿宋" w:eastAsia="仿宋" w:cs="仿宋"/>
          <w:color w:val="000000"/>
          <w:sz w:val="24"/>
          <w:highlight w:val="none"/>
        </w:rPr>
        <w:t>；除非经双方书面另行约定，否则一律为一次包死，不再调整。</w:t>
      </w:r>
    </w:p>
    <w:p w14:paraId="3D250460">
      <w:pPr>
        <w:spacing w:line="400" w:lineRule="exact"/>
        <w:ind w:firstLine="480" w:firstLineChars="200"/>
        <w:rPr>
          <w:rFonts w:ascii="仿宋" w:hAnsi="仿宋" w:eastAsia="仿宋" w:cs="仿宋"/>
          <w:color w:val="000000"/>
          <w:sz w:val="24"/>
          <w:highlight w:val="none"/>
          <w:u w:val="single"/>
        </w:rPr>
      </w:pPr>
      <w:r>
        <w:rPr>
          <w:rFonts w:hint="eastAsia" w:ascii="仿宋" w:hAnsi="仿宋" w:eastAsia="仿宋" w:cs="仿宋"/>
          <w:color w:val="000000"/>
          <w:sz w:val="24"/>
          <w:highlight w:val="none"/>
        </w:rPr>
        <w:t>1.2双方约定合同价款的其他调整因素：</w:t>
      </w:r>
      <w:r>
        <w:rPr>
          <w:rFonts w:hint="eastAsia" w:ascii="仿宋" w:hAnsi="仿宋" w:eastAsia="仿宋" w:cs="仿宋"/>
          <w:color w:val="000000"/>
          <w:sz w:val="24"/>
          <w:highlight w:val="none"/>
          <w:u w:val="single"/>
        </w:rPr>
        <w:t xml:space="preserve">                            </w:t>
      </w:r>
    </w:p>
    <w:p w14:paraId="069530BD">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2、工程量确认</w:t>
      </w:r>
    </w:p>
    <w:p w14:paraId="1DCED0AA">
      <w:pPr>
        <w:spacing w:line="400" w:lineRule="exact"/>
        <w:ind w:firstLine="480" w:firstLineChars="200"/>
        <w:rPr>
          <w:rFonts w:ascii="仿宋" w:hAnsi="仿宋" w:eastAsia="仿宋" w:cs="仿宋"/>
          <w:b/>
          <w:color w:val="000000"/>
          <w:sz w:val="24"/>
          <w:highlight w:val="none"/>
        </w:rPr>
      </w:pPr>
      <w:r>
        <w:rPr>
          <w:rFonts w:hint="eastAsia" w:ascii="仿宋" w:hAnsi="仿宋" w:eastAsia="仿宋" w:cs="仿宋"/>
          <w:color w:val="000000"/>
          <w:sz w:val="24"/>
          <w:highlight w:val="none"/>
        </w:rPr>
        <w:t>2.1分包人向承包人提交已完工程量报告的时间：</w:t>
      </w:r>
      <w:r>
        <w:rPr>
          <w:rFonts w:hint="eastAsia" w:ascii="仿宋" w:hAnsi="仿宋" w:eastAsia="仿宋" w:cs="仿宋"/>
          <w:color w:val="000000"/>
          <w:sz w:val="24"/>
          <w:highlight w:val="none"/>
          <w:u w:val="single"/>
        </w:rPr>
        <w:t xml:space="preserve">                    </w:t>
      </w:r>
    </w:p>
    <w:p w14:paraId="61D56587">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3、合同价款的支付</w:t>
      </w:r>
    </w:p>
    <w:p w14:paraId="5451D469">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3.1承包人向分包人预付工程款的时间和金额：</w:t>
      </w:r>
      <w:r>
        <w:rPr>
          <w:rFonts w:hint="eastAsia" w:ascii="仿宋" w:hAnsi="仿宋" w:eastAsia="仿宋" w:cs="仿宋"/>
          <w:color w:val="000000"/>
          <w:sz w:val="24"/>
          <w:highlight w:val="none"/>
          <w:u w:val="single"/>
        </w:rPr>
        <w:t xml:space="preserve">                    </w:t>
      </w:r>
    </w:p>
    <w:p w14:paraId="21FD9FE0">
      <w:pPr>
        <w:widowControl/>
        <w:spacing w:line="400" w:lineRule="exact"/>
        <w:ind w:firstLine="480" w:firstLineChars="200"/>
        <w:jc w:val="left"/>
        <w:rPr>
          <w:rFonts w:ascii="仿宋" w:hAnsi="仿宋" w:eastAsia="仿宋" w:cs="仿宋"/>
          <w:color w:val="000000"/>
          <w:sz w:val="24"/>
          <w:highlight w:val="none"/>
          <w:u w:val="single"/>
        </w:rPr>
      </w:pPr>
      <w:r>
        <w:rPr>
          <w:rFonts w:hint="eastAsia" w:ascii="仿宋" w:hAnsi="仿宋" w:eastAsia="仿宋" w:cs="仿宋"/>
          <w:color w:val="000000"/>
          <w:sz w:val="24"/>
          <w:highlight w:val="none"/>
        </w:rPr>
        <w:t>扣回时间和比例：</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 xml:space="preserve"> 。                                       </w:t>
      </w:r>
    </w:p>
    <w:p w14:paraId="32BB67CF">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3.2承包人向分包人支付工程款（进度款）的时间和方式：</w:t>
      </w:r>
    </w:p>
    <w:p w14:paraId="2A7181E7">
      <w:pPr>
        <w:spacing w:line="400" w:lineRule="exact"/>
        <w:ind w:firstLine="360" w:firstLineChars="150"/>
        <w:rPr>
          <w:rFonts w:ascii="仿宋" w:hAnsi="仿宋" w:eastAsia="仿宋" w:cs="仿宋"/>
          <w:color w:val="000000"/>
          <w:sz w:val="24"/>
          <w:highlight w:val="none"/>
        </w:rPr>
      </w:pPr>
      <w:r>
        <w:rPr>
          <w:rFonts w:hint="eastAsia" w:ascii="仿宋" w:hAnsi="仿宋" w:eastAsia="仿宋" w:cs="仿宋"/>
          <w:color w:val="000000"/>
          <w:sz w:val="24"/>
          <w:highlight w:val="none"/>
        </w:rPr>
        <w:t>（</w:t>
      </w:r>
      <w:r>
        <w:rPr>
          <w:rFonts w:hint="eastAsia" w:ascii="仿宋" w:hAnsi="仿宋" w:eastAsia="仿宋" w:cs="仿宋"/>
          <w:color w:val="000000"/>
          <w:sz w:val="24"/>
          <w:highlight w:val="none"/>
          <w:u w:val="single"/>
        </w:rPr>
        <w:t>1）承包人在收到发包人按总包合同约定拨付的工程进度款后，按承包人核准的已完工程量的不超过       %支付工程进度款，</w:t>
      </w:r>
      <w:r>
        <w:rPr>
          <w:rFonts w:hint="eastAsia" w:ascii="仿宋" w:hAnsi="仿宋" w:eastAsia="仿宋" w:cs="仿宋"/>
          <w:color w:val="000000"/>
          <w:sz w:val="24"/>
          <w:highlight w:val="none"/>
        </w:rPr>
        <w:t>工程竣工验收合格，分包人提交工程竣工备案所需全部资料《包括竣工图（如有）》，结算完成后，在承包人实际收到的发包人所支付的本工程全部工程款大于承包人支付给所有分包人的工程款及材料款等款项的情况下，承包人付至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价款（</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），余（</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）作为本工程保修金，在保修期满后一个月内付清（无息）。</w:t>
      </w:r>
    </w:p>
    <w:p w14:paraId="46FE3A58">
      <w:pPr>
        <w:spacing w:line="400" w:lineRule="exact"/>
        <w:ind w:firstLine="360" w:firstLineChars="150"/>
        <w:rPr>
          <w:rFonts w:ascii="仿宋" w:hAnsi="仿宋" w:eastAsia="仿宋" w:cs="仿宋"/>
          <w:color w:val="000000"/>
          <w:sz w:val="24"/>
          <w:highlight w:val="none"/>
        </w:rPr>
      </w:pPr>
      <w:r>
        <w:rPr>
          <w:rFonts w:hint="eastAsia" w:ascii="仿宋" w:hAnsi="仿宋" w:eastAsia="仿宋" w:cs="仿宋"/>
          <w:color w:val="000000"/>
          <w:sz w:val="24"/>
          <w:highlight w:val="none"/>
        </w:rPr>
        <w:t>（2）分包人应在每个月末，按承包人批准的格式向承包人提交已完工程量和分包人自己认为有权得到的《工程进度款申请表》（一式</w:t>
      </w:r>
      <w:r>
        <w:rPr>
          <w:rFonts w:hint="eastAsia" w:ascii="仿宋" w:hAnsi="仿宋" w:eastAsia="仿宋" w:cs="仿宋"/>
          <w:color w:val="000000"/>
          <w:sz w:val="24"/>
          <w:highlight w:val="none"/>
          <w:u w:val="single"/>
        </w:rPr>
        <w:t>两</w:t>
      </w:r>
      <w:r>
        <w:rPr>
          <w:rFonts w:hint="eastAsia" w:ascii="仿宋" w:hAnsi="仿宋" w:eastAsia="仿宋" w:cs="仿宋"/>
          <w:color w:val="000000"/>
          <w:sz w:val="24"/>
          <w:highlight w:val="none"/>
        </w:rPr>
        <w:t>份），内容包括但不限于：截止月末已实施的工程量和承包人应支付的工程款数额（包括按照合同约定和双方另行书面约定应增减的任何款额）</w:t>
      </w:r>
    </w:p>
    <w:p w14:paraId="25D8256E">
      <w:pPr>
        <w:spacing w:line="400" w:lineRule="exact"/>
        <w:ind w:firstLine="360" w:firstLineChars="150"/>
        <w:rPr>
          <w:rFonts w:ascii="仿宋" w:hAnsi="仿宋" w:eastAsia="仿宋" w:cs="仿宋"/>
          <w:color w:val="000000"/>
          <w:sz w:val="24"/>
          <w:highlight w:val="none"/>
        </w:rPr>
      </w:pPr>
      <w:r>
        <w:rPr>
          <w:rFonts w:hint="eastAsia" w:ascii="仿宋" w:hAnsi="仿宋" w:eastAsia="仿宋" w:cs="仿宋"/>
          <w:color w:val="000000"/>
          <w:sz w:val="24"/>
          <w:highlight w:val="none"/>
        </w:rPr>
        <w:t>（3）发包人未按总包合同约定向承包人支付工程款或和分包人未按上述约定提交工程进度与工程款支付申请表的，承包人有权拒绝向分包人支付工程款，且无需因此向分包人承担违约责任。同时，分包人仍应按本合同约定继续履行合同义务。</w:t>
      </w:r>
    </w:p>
    <w:p w14:paraId="12DA19E3">
      <w:pPr>
        <w:spacing w:line="400" w:lineRule="exact"/>
        <w:ind w:firstLine="240" w:firstLineChars="100"/>
        <w:rPr>
          <w:rFonts w:ascii="仿宋" w:hAnsi="仿宋" w:eastAsia="仿宋" w:cs="仿宋"/>
          <w:color w:val="000000"/>
          <w:sz w:val="24"/>
          <w:highlight w:val="none"/>
        </w:rPr>
      </w:pPr>
      <w:r>
        <w:rPr>
          <w:rFonts w:hint="eastAsia" w:ascii="仿宋" w:hAnsi="仿宋" w:eastAsia="仿宋" w:cs="仿宋"/>
          <w:color w:val="000000"/>
          <w:sz w:val="24"/>
          <w:highlight w:val="none"/>
        </w:rPr>
        <w:t>（4）发包人未按总包合同约定向承包人支付工程款的，分包人应按承包人书面授权述明的内容、期限等要求，以承包人名义依法向发包人主张总包合同项下工程款的支付义务，要求发包人将拖欠的工程款、违约金等支付至总包合同约定的承包人指定收款账户。发包人向承包人履行付款义务后，承包人按本合同约定向分包人履行付款义务。分包人不能按承包人要求履行本条约定时，无权向承包人主张任何违约赔偿。</w:t>
      </w:r>
    </w:p>
    <w:p w14:paraId="19DE786C">
      <w:pPr>
        <w:spacing w:line="400" w:lineRule="exact"/>
        <w:ind w:firstLine="240" w:firstLineChars="100"/>
        <w:rPr>
          <w:rFonts w:ascii="仿宋" w:hAnsi="仿宋" w:eastAsia="仿宋" w:cs="仿宋"/>
          <w:color w:val="000000"/>
          <w:sz w:val="24"/>
          <w:highlight w:val="none"/>
        </w:rPr>
      </w:pPr>
      <w:r>
        <w:rPr>
          <w:rFonts w:hint="eastAsia" w:ascii="仿宋" w:hAnsi="仿宋" w:eastAsia="仿宋" w:cs="仿宋"/>
          <w:color w:val="000000"/>
          <w:sz w:val="24"/>
          <w:highlight w:val="none"/>
        </w:rPr>
        <w:t>（5）因分包人以承包人名义要求发包人履行总包合同项下工程款支付义务而产生的费用，由分包人自行承担。分包人保证依法向发包人主张权利，对主张权利过程中产生的纠纷自行解决并承担全部责任和后果。</w:t>
      </w:r>
    </w:p>
    <w:p w14:paraId="0971C540">
      <w:pPr>
        <w:spacing w:line="400" w:lineRule="exact"/>
        <w:ind w:firstLine="240" w:firstLineChars="100"/>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6）未经承包人书面盖章确认同意，分包人不得变更总包合同约定，不得减少或免除发包人应承担的支付工程款、违约责任等任何合同义务。分包人违反上述约定的，分包人对因此给承包人造成的经济损失承担赔偿责任，且承包人有权自尚未支付的工程款中直接扣除。                                                    </w:t>
      </w:r>
    </w:p>
    <w:p w14:paraId="267BDE3E">
      <w:pPr>
        <w:spacing w:line="400" w:lineRule="exact"/>
        <w:ind w:firstLine="240" w:firstLineChars="100"/>
        <w:rPr>
          <w:rFonts w:ascii="仿宋" w:hAnsi="仿宋" w:eastAsia="仿宋" w:cs="仿宋"/>
          <w:color w:val="000000"/>
          <w:sz w:val="24"/>
          <w:highlight w:val="none"/>
        </w:rPr>
      </w:pPr>
      <w:r>
        <w:rPr>
          <w:rFonts w:hint="eastAsia" w:ascii="仿宋" w:hAnsi="仿宋" w:eastAsia="仿宋" w:cs="仿宋"/>
          <w:color w:val="000000"/>
          <w:sz w:val="24"/>
          <w:highlight w:val="none"/>
        </w:rPr>
        <w:t>（7）</w:t>
      </w:r>
      <w:r>
        <w:rPr>
          <w:rFonts w:hint="eastAsia" w:ascii="仿宋" w:hAnsi="仿宋" w:eastAsia="仿宋" w:cs="仿宋"/>
          <w:color w:val="000000"/>
          <w:sz w:val="24"/>
          <w:highlight w:val="none"/>
          <w:shd w:val="clear" w:color="auto" w:fill="FFFFFF"/>
        </w:rPr>
        <w:t>承包人付款前，分包人应按承包人提供的开票信息开具税率为%的类增值税专用发票，因此产生的税费已经包含在合同价款中，承包人无需另行支付。分包人未提供符合上述要求合法有效发票的，承包人有权拒绝付款，且分包人仍应履行合同义务。</w:t>
      </w:r>
    </w:p>
    <w:p w14:paraId="651983D9">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分包人虽已提交发票，但该票不符合法规或主管机关要求等原因致承包人不能按规定凭该发票完成抵扣的，或承包人已凭该发票完成抵扣后，但因分包人未依法纳税等致主管机关要求承包人补缴税费的，</w:t>
      </w:r>
      <w:r>
        <w:rPr>
          <w:rFonts w:hint="eastAsia" w:ascii="仿宋" w:hAnsi="仿宋" w:eastAsia="仿宋" w:cs="仿宋"/>
          <w:color w:val="000000"/>
          <w:sz w:val="24"/>
          <w:highlight w:val="none"/>
          <w:shd w:val="clear" w:color="auto" w:fill="FFFFFF"/>
        </w:rPr>
        <w:t>则分包人同意在承包人通知后三个工作日内按承包人不能抵扣税费款额或和行政处罚款额的120%向承包人支付赔偿费（含违约金）或由承包人自应付未付分包人结算款中直接予以扣除支付；如分包人不能在三日内支付或已无结算款可扣除时，承包人以诉讼或仲裁方式起诉分包人时，分包人按承包人不能抵扣税费款额或和行政处罚款额的150%向承包人支付赔偿费（含违约金）。</w:t>
      </w:r>
    </w:p>
    <w:p w14:paraId="67714A20">
      <w:pPr>
        <w:spacing w:line="400" w:lineRule="exact"/>
        <w:ind w:firstLine="240" w:firstLineChars="100"/>
        <w:rPr>
          <w:rFonts w:ascii="仿宋" w:hAnsi="仿宋" w:eastAsia="仿宋" w:cs="仿宋"/>
          <w:color w:val="000000"/>
          <w:sz w:val="24"/>
          <w:highlight w:val="none"/>
        </w:rPr>
      </w:pPr>
      <w:r>
        <w:rPr>
          <w:rFonts w:hint="eastAsia" w:ascii="仿宋" w:hAnsi="仿宋" w:eastAsia="仿宋" w:cs="仿宋"/>
          <w:color w:val="000000"/>
          <w:sz w:val="24"/>
          <w:highlight w:val="none"/>
        </w:rPr>
        <w:t>（8）承包人按约定支付价款至</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%时，分包人应按结算价提供全额的正式且有效发票，否则，承包人有权暂不付款。</w:t>
      </w:r>
    </w:p>
    <w:p w14:paraId="5D2C8B9E">
      <w:pPr>
        <w:widowControl/>
        <w:spacing w:line="400" w:lineRule="exact"/>
        <w:ind w:firstLine="240" w:firstLineChars="100"/>
        <w:jc w:val="left"/>
        <w:rPr>
          <w:rFonts w:hint="eastAsia" w:ascii="仿宋" w:hAnsi="仿宋" w:eastAsia="仿宋" w:cs="仿宋"/>
          <w:color w:val="000000"/>
          <w:sz w:val="24"/>
          <w:highlight w:val="none"/>
          <w:shd w:val="clear" w:color="auto" w:fill="FFFFFF"/>
        </w:rPr>
      </w:pPr>
      <w:r>
        <w:rPr>
          <w:rFonts w:hint="eastAsia" w:ascii="仿宋" w:hAnsi="仿宋" w:eastAsia="仿宋" w:cs="仿宋"/>
          <w:bCs w:val="0"/>
          <w:color w:val="000000"/>
          <w:sz w:val="24"/>
          <w:highlight w:val="none"/>
          <w:shd w:val="clear" w:color="auto" w:fill="FFFFFF"/>
        </w:rPr>
        <w:t>（9）为维护承包人的形象，确保民工工资按时足额支付，分包人必须</w:t>
      </w:r>
      <w:r>
        <w:rPr>
          <w:rFonts w:hint="eastAsia" w:ascii="仿宋" w:hAnsi="仿宋" w:eastAsia="仿宋" w:cs="仿宋"/>
          <w:bCs w:val="0"/>
          <w:color w:val="000000"/>
          <w:sz w:val="24"/>
          <w:highlight w:val="none"/>
          <w:shd w:val="clear" w:color="auto" w:fill="FFFFFF"/>
          <w:lang w:val="en-US" w:eastAsia="zh-CN"/>
        </w:rPr>
        <w:t>依据《保障农民工工资支付条例》、</w:t>
      </w:r>
      <w:r>
        <w:rPr>
          <w:rFonts w:hint="eastAsia" w:ascii="仿宋" w:hAnsi="仿宋" w:eastAsia="仿宋" w:cs="仿宋"/>
          <w:bCs w:val="0"/>
          <w:color w:val="000000"/>
          <w:kern w:val="2"/>
          <w:sz w:val="24"/>
          <w:szCs w:val="24"/>
          <w:highlight w:val="none"/>
          <w:shd w:val="clear" w:color="auto" w:fill="FFFFFF"/>
          <w:lang w:val="en-US" w:eastAsia="zh-CN" w:bidi="ar"/>
        </w:rPr>
        <w:t>《工程建设领域农民工工资专用账户管理暂行办法》、《最高人民法院关于审理拒不支付劳动报酬刑事案件适用法律若干问题的解释》等法律法规的要求</w:t>
      </w:r>
      <w:r>
        <w:rPr>
          <w:rFonts w:hint="eastAsia" w:ascii="仿宋" w:hAnsi="仿宋" w:eastAsia="仿宋" w:cs="仿宋"/>
          <w:bCs w:val="0"/>
          <w:color w:val="000000"/>
          <w:sz w:val="24"/>
          <w:highlight w:val="none"/>
          <w:shd w:val="clear" w:color="auto" w:fill="FFFFFF"/>
        </w:rPr>
        <w:t>对民工工资支付做出承诺，分包人不得拖欠民</w:t>
      </w:r>
      <w:r>
        <w:rPr>
          <w:rFonts w:hint="eastAsia" w:ascii="仿宋" w:hAnsi="仿宋" w:eastAsia="仿宋" w:cs="仿宋"/>
          <w:color w:val="000000"/>
          <w:sz w:val="24"/>
          <w:highlight w:val="none"/>
          <w:shd w:val="clear" w:color="auto" w:fill="FFFFFF"/>
        </w:rPr>
        <w:t>工工资支付，施工中若有类似事件发生，</w:t>
      </w:r>
      <w:r>
        <w:rPr>
          <w:rFonts w:hint="eastAsia" w:ascii="仿宋" w:hAnsi="仿宋" w:eastAsia="仿宋" w:cs="仿宋"/>
          <w:bCs w:val="0"/>
          <w:color w:val="000000"/>
          <w:sz w:val="24"/>
          <w:highlight w:val="none"/>
          <w:shd w:val="clear" w:color="auto" w:fill="FFFFFF"/>
        </w:rPr>
        <w:t>承包人有权从分包人工程款中直接扣除并代分包人支付民工工资，承包人代分包人支付民工工资视为向分包人支付工程款。</w:t>
      </w:r>
    </w:p>
    <w:p w14:paraId="27D73074">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3.3承包人向分包人付款方式（勾选“√”）</w:t>
      </w:r>
    </w:p>
    <w:p w14:paraId="05ADC26C">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 （1）电汇  </w:t>
      </w:r>
    </w:p>
    <w:p w14:paraId="019C7350">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开户银行：_____________；账户：_______________；账号：_______________；</w:t>
      </w:r>
    </w:p>
    <w:p w14:paraId="23FEFE2B">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□（2） 网银 </w:t>
      </w:r>
    </w:p>
    <w:p w14:paraId="6B68FADF">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开户银行：_____________；账户：_______________；账号：_______________；</w:t>
      </w:r>
    </w:p>
    <w:p w14:paraId="3347ABF2">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□（3） 银行票据（包括但不限于转账支票、承兑汇票、银行汇票等）</w:t>
      </w:r>
    </w:p>
    <w:p w14:paraId="34BC315D">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分包人签订分包合同之日，应当指定领取银行票据的承办人，并提供真实信息，其他任何第三人，不得领取票据。</w:t>
      </w:r>
    </w:p>
    <w:p w14:paraId="21F35594">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承办人信息：</w:t>
      </w:r>
    </w:p>
    <w:p w14:paraId="4AA9E7EE">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姓名：____________；性别：___________；</w:t>
      </w:r>
    </w:p>
    <w:p w14:paraId="5536EBB1">
      <w:pPr>
        <w:spacing w:line="400" w:lineRule="exact"/>
        <w:ind w:firstLine="480" w:firstLineChars="200"/>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身份号：_________________；联系方式：_______________；</w:t>
      </w:r>
      <w:r>
        <w:rPr>
          <w:rFonts w:hint="eastAsia" w:ascii="仿宋" w:hAnsi="仿宋" w:eastAsia="仿宋" w:cs="仿宋"/>
          <w:color w:val="000000"/>
          <w:sz w:val="24"/>
          <w:highlight w:val="none"/>
          <w:lang w:eastAsia="zh-CN"/>
        </w:rPr>
        <w:t>（《</w:t>
      </w:r>
      <w:r>
        <w:rPr>
          <w:rFonts w:hint="eastAsia" w:ascii="仿宋" w:hAnsi="仿宋" w:eastAsia="仿宋" w:cs="仿宋"/>
          <w:bCs/>
          <w:color w:val="000000"/>
          <w:sz w:val="24"/>
          <w:highlight w:val="none"/>
          <w:lang w:val="en-US" w:eastAsia="zh-CN"/>
        </w:rPr>
        <w:t>劳动合同》复印页、连续6个月以上社保缴纳记录</w:t>
      </w:r>
      <w:r>
        <w:rPr>
          <w:rFonts w:hint="eastAsia" w:ascii="仿宋" w:hAnsi="仿宋" w:eastAsia="仿宋" w:cs="仿宋"/>
          <w:bCs/>
          <w:color w:val="000000"/>
          <w:sz w:val="24"/>
          <w:highlight w:val="none"/>
        </w:rPr>
        <w:t>作为本合同书附件）</w:t>
      </w:r>
    </w:p>
    <w:p w14:paraId="4597171C">
      <w:pPr>
        <w:spacing w:line="400" w:lineRule="exact"/>
        <w:ind w:firstLine="480" w:firstLineChars="20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 </w:t>
      </w:r>
      <w:r>
        <w:rPr>
          <w:rFonts w:hint="eastAsia" w:ascii="仿宋" w:hAnsi="仿宋" w:eastAsia="仿宋" w:cs="仿宋"/>
          <w:color w:val="000000"/>
          <w:sz w:val="24"/>
          <w:szCs w:val="24"/>
          <w:highlight w:val="none"/>
          <w:lang w:val="en-US" w:eastAsia="zh-CN"/>
        </w:rPr>
        <w:t>其他</w:t>
      </w:r>
      <w:r>
        <w:rPr>
          <w:rFonts w:hint="eastAsia" w:ascii="仿宋" w:hAnsi="仿宋" w:eastAsia="仿宋" w:cs="仿宋"/>
          <w:color w:val="000000"/>
          <w:sz w:val="24"/>
          <w:szCs w:val="24"/>
          <w:highlight w:val="none"/>
        </w:rPr>
        <w:t xml:space="preserve"> </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包括但不限于债权转让、保理支付、供应链付款等方式</w:t>
      </w:r>
      <w:r>
        <w:rPr>
          <w:rFonts w:hint="eastAsia" w:ascii="仿宋" w:hAnsi="仿宋" w:eastAsia="仿宋" w:cs="仿宋"/>
          <w:color w:val="000000"/>
          <w:sz w:val="24"/>
          <w:szCs w:val="24"/>
          <w:highlight w:val="none"/>
          <w:lang w:eastAsia="zh-CN"/>
        </w:rPr>
        <w:t>）</w:t>
      </w:r>
    </w:p>
    <w:p w14:paraId="0EF7CCB3">
      <w:pPr>
        <w:spacing w:line="400" w:lineRule="exact"/>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如采用其他方式付款的请双方对应签订补充协议。</w:t>
      </w:r>
    </w:p>
    <w:p w14:paraId="2B7BD1C4">
      <w:pPr>
        <w:spacing w:line="400" w:lineRule="exact"/>
        <w:ind w:firstLine="480" w:firstLineChars="200"/>
        <w:rPr>
          <w:rFonts w:hint="eastAsia" w:ascii="仿宋" w:hAnsi="仿宋" w:eastAsia="仿宋" w:cs="仿宋"/>
          <w:b w:val="0"/>
          <w:bCs/>
          <w:color w:val="000000"/>
          <w:sz w:val="24"/>
          <w:highlight w:val="none"/>
        </w:rPr>
      </w:pPr>
      <w:r>
        <w:rPr>
          <w:rFonts w:hint="eastAsia" w:ascii="仿宋" w:hAnsi="仿宋" w:eastAsia="仿宋" w:cs="仿宋"/>
          <w:b w:val="0"/>
          <w:bCs/>
          <w:color w:val="000000"/>
          <w:sz w:val="24"/>
          <w:highlight w:val="none"/>
        </w:rPr>
        <w:t>4</w:t>
      </w:r>
      <w:r>
        <w:rPr>
          <w:rFonts w:hint="eastAsia" w:ascii="仿宋" w:hAnsi="仿宋" w:eastAsia="仿宋" w:cs="仿宋"/>
          <w:b w:val="0"/>
          <w:bCs/>
          <w:color w:val="000000"/>
          <w:sz w:val="24"/>
          <w:highlight w:val="none"/>
          <w:lang w:eastAsia="zh-CN"/>
        </w:rPr>
        <w:t>、</w:t>
      </w:r>
      <w:r>
        <w:rPr>
          <w:rFonts w:hint="eastAsia" w:ascii="仿宋" w:hAnsi="仿宋" w:eastAsia="仿宋" w:cs="仿宋"/>
          <w:b w:val="0"/>
          <w:bCs/>
          <w:color w:val="000000"/>
          <w:sz w:val="24"/>
          <w:highlight w:val="none"/>
        </w:rPr>
        <w:t>安全生产管理费专用条款</w:t>
      </w:r>
    </w:p>
    <w:p w14:paraId="1019B22A">
      <w:pPr>
        <w:pageBreakBefore w:val="0"/>
        <w:widowControl w:val="0"/>
        <w:numPr>
          <w:ilvl w:val="0"/>
          <w:numId w:val="0"/>
        </w:numPr>
        <w:kinsoku/>
        <w:wordWrap/>
        <w:overflowPunct/>
        <w:topLinePunct w:val="0"/>
        <w:autoSpaceDE/>
        <w:autoSpaceDN/>
        <w:bidi w:val="0"/>
        <w:adjustRightInd/>
        <w:snapToGrid/>
        <w:spacing w:line="480" w:lineRule="exact"/>
        <w:ind w:left="19" w:leftChars="9" w:firstLine="458" w:firstLineChars="191"/>
        <w:jc w:val="both"/>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000000"/>
          <w:kern w:val="2"/>
          <w:sz w:val="24"/>
          <w:szCs w:val="24"/>
          <w:highlight w:val="none"/>
          <w:lang w:val="en-US" w:eastAsia="zh-CN" w:bidi="ar"/>
        </w:rPr>
        <w:t>1）本分包工程安全生产管理费计提基数为：分包工程不含税合同总造价，</w:t>
      </w:r>
      <w:r>
        <w:rPr>
          <w:rFonts w:hint="eastAsia" w:ascii="仿宋" w:hAnsi="仿宋" w:eastAsia="仿宋" w:cs="仿宋"/>
          <w:b w:val="0"/>
          <w:bCs/>
          <w:color w:val="auto"/>
          <w:sz w:val="24"/>
          <w:szCs w:val="24"/>
          <w:highlight w:val="none"/>
          <w:lang w:val="en-US" w:eastAsia="zh-CN"/>
        </w:rPr>
        <w:t>计提标准按不低于财资〔2022〕136号文件规定</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b w:val="0"/>
          <w:bCs/>
          <w:color w:val="auto"/>
          <w:sz w:val="24"/>
          <w:szCs w:val="24"/>
          <w:highlight w:val="none"/>
          <w:lang w:val="en-US" w:eastAsia="zh-CN"/>
        </w:rPr>
        <w:t>执行，提取比例为</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b w:val="0"/>
          <w:bCs/>
          <w:color w:val="auto"/>
          <w:sz w:val="24"/>
          <w:szCs w:val="24"/>
          <w:highlight w:val="none"/>
          <w:lang w:val="en-US" w:eastAsia="zh-CN"/>
        </w:rPr>
        <w:t>%，安全措施费总金额为人民币￥</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b w:val="0"/>
          <w:bCs/>
          <w:color w:val="auto"/>
          <w:sz w:val="24"/>
          <w:szCs w:val="24"/>
          <w:highlight w:val="none"/>
          <w:lang w:val="en-US" w:eastAsia="zh-CN"/>
        </w:rPr>
        <w:t>元（大写：</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b w:val="0"/>
          <w:bCs/>
          <w:color w:val="auto"/>
          <w:sz w:val="24"/>
          <w:szCs w:val="24"/>
          <w:highlight w:val="none"/>
          <w:lang w:val="en-US" w:eastAsia="zh-CN"/>
        </w:rPr>
        <w:t>）。</w:t>
      </w:r>
    </w:p>
    <w:p w14:paraId="2F8B4F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firstLine="480" w:firstLineChars="200"/>
        <w:jc w:val="left"/>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kern w:val="2"/>
          <w:sz w:val="24"/>
          <w:szCs w:val="24"/>
          <w:highlight w:val="none"/>
          <w:lang w:val="en-US" w:eastAsia="zh-CN" w:bidi="ar"/>
        </w:rPr>
        <w:t>2）安全生产管理费为不可竞争费用，双方不得下浮、让利、抵扣、克扣。</w:t>
      </w:r>
    </w:p>
    <w:p w14:paraId="3F59AE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firstLine="480" w:firstLineChars="200"/>
        <w:jc w:val="left"/>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kern w:val="2"/>
          <w:sz w:val="24"/>
          <w:szCs w:val="24"/>
          <w:highlight w:val="none"/>
          <w:lang w:val="en-US" w:eastAsia="zh-CN" w:bidi="ar"/>
        </w:rPr>
        <w:t>3）承包人在分包工程开工后30日内，支付安全生产管理费总额的50%，即</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b w:val="0"/>
          <w:bCs/>
          <w:color w:val="auto"/>
          <w:sz w:val="24"/>
          <w:szCs w:val="24"/>
          <w:highlight w:val="none"/>
          <w:lang w:val="en-US" w:eastAsia="zh-CN"/>
        </w:rPr>
        <w:t>元</w:t>
      </w:r>
      <w:r>
        <w:rPr>
          <w:rFonts w:hint="eastAsia" w:ascii="仿宋" w:hAnsi="仿宋" w:eastAsia="仿宋" w:cs="仿宋"/>
          <w:b w:val="0"/>
          <w:bCs/>
          <w:color w:val="000000"/>
          <w:kern w:val="2"/>
          <w:sz w:val="24"/>
          <w:szCs w:val="24"/>
          <w:highlight w:val="none"/>
          <w:lang w:val="en-US" w:eastAsia="zh-CN" w:bidi="ar"/>
        </w:rPr>
        <w:t>；剩余部分随工程进度款同步支付。</w:t>
      </w:r>
    </w:p>
    <w:p w14:paraId="6EDD3D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firstLine="480" w:firstLineChars="200"/>
        <w:jc w:val="left"/>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kern w:val="2"/>
          <w:sz w:val="24"/>
          <w:szCs w:val="24"/>
          <w:highlight w:val="none"/>
          <w:lang w:val="en-US" w:eastAsia="zh-CN" w:bidi="ar"/>
        </w:rPr>
        <w:t>4）分包人收到安全生产管理费后专款专用，仅用于现场安全防护、劳保用品、安全教育、应急物资、临时安全设施等有关安全生产的投入，专款专用，严禁挪用、截留。分包单位需留存支出凭证、建立使用台账，接受承包人、监理、主管部门检查。</w:t>
      </w:r>
    </w:p>
    <w:p w14:paraId="6C2596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firstLine="480" w:firstLineChars="200"/>
        <w:jc w:val="left"/>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kern w:val="2"/>
          <w:sz w:val="24"/>
          <w:szCs w:val="24"/>
          <w:highlight w:val="none"/>
          <w:lang w:val="en-US" w:eastAsia="zh-CN" w:bidi="ar"/>
        </w:rPr>
        <w:t>5）工程竣工结算后，按实际投入核算安全生产管理费，结余部分分包人无息退回承包人单位。</w:t>
      </w:r>
    </w:p>
    <w:p w14:paraId="3E3DCF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firstLine="480" w:firstLineChars="200"/>
        <w:jc w:val="left"/>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kern w:val="2"/>
          <w:sz w:val="24"/>
          <w:szCs w:val="24"/>
          <w:highlight w:val="none"/>
          <w:lang w:val="en-US" w:eastAsia="zh-CN" w:bidi="ar"/>
        </w:rPr>
        <w:t>6）分包人收取安全生产管理费款项后，需向承包人开具增值税专用发票。</w:t>
      </w:r>
    </w:p>
    <w:p w14:paraId="33BAE7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firstLine="480" w:firstLineChars="200"/>
        <w:jc w:val="left"/>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kern w:val="2"/>
          <w:sz w:val="24"/>
          <w:szCs w:val="24"/>
          <w:highlight w:val="none"/>
          <w:lang w:val="en-US" w:eastAsia="zh-CN" w:bidi="ar"/>
        </w:rPr>
        <w:t>7）安全生产管理费严禁挪用发放人员工资、垫付其他款项、体外循环使用。</w:t>
      </w:r>
    </w:p>
    <w:p w14:paraId="096D5E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exact"/>
        <w:ind w:left="0" w:right="0" w:firstLine="480" w:firstLineChars="200"/>
        <w:jc w:val="left"/>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kern w:val="2"/>
          <w:sz w:val="24"/>
          <w:szCs w:val="24"/>
          <w:highlight w:val="none"/>
          <w:lang w:val="en-US" w:eastAsia="zh-CN" w:bidi="ar"/>
        </w:rPr>
        <w:t>8）分包人不得再次重复提取安全生产管理费，若未按规定使用该费用，承包人有权停止付款并追究相关责任。</w:t>
      </w:r>
    </w:p>
    <w:p w14:paraId="49AB3E45">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八、竣工验收</w:t>
      </w:r>
    </w:p>
    <w:p w14:paraId="3B198B44">
      <w:pPr>
        <w:spacing w:line="400" w:lineRule="exact"/>
        <w:ind w:firstLine="480" w:firstLineChars="200"/>
        <w:rPr>
          <w:rFonts w:ascii="仿宋" w:hAnsi="仿宋" w:eastAsia="仿宋" w:cs="仿宋"/>
          <w:b/>
          <w:color w:val="000000"/>
          <w:sz w:val="24"/>
          <w:highlight w:val="none"/>
        </w:rPr>
      </w:pPr>
      <w:r>
        <w:rPr>
          <w:rFonts w:hint="eastAsia" w:ascii="仿宋" w:hAnsi="仿宋" w:eastAsia="仿宋" w:cs="仿宋"/>
          <w:color w:val="000000"/>
          <w:sz w:val="24"/>
          <w:highlight w:val="none"/>
        </w:rPr>
        <w:t>分包人提供竣工图和符合竣工备案要求及承包人与发包人进行结算的全部竣工资料的日期：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日；分包人确认，即使双方存有任何纠纷与分歧（含诉讼或仲裁等），不影响本条约定的履行，否则即为分包人违约竣工并承担违约责任。</w:t>
      </w:r>
    </w:p>
    <w:p w14:paraId="643D9832">
      <w:pPr>
        <w:spacing w:line="400" w:lineRule="exact"/>
        <w:ind w:firstLine="480" w:firstLineChars="200"/>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rPr>
        <w:t>分包人提供竣工图的套数：</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。（总包合同要求的份数）</w:t>
      </w:r>
    </w:p>
    <w:p w14:paraId="1D0B3ECA">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九、违约、索赔和争议</w:t>
      </w:r>
    </w:p>
    <w:p w14:paraId="3F7F7E76">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1、违约、索赔</w:t>
      </w:r>
    </w:p>
    <w:p w14:paraId="01A4C20F">
      <w:pPr>
        <w:spacing w:line="400" w:lineRule="exact"/>
        <w:ind w:firstLine="420" w:firstLineChars="200"/>
        <w:rPr>
          <w:rFonts w:ascii="仿宋" w:hAnsi="仿宋" w:eastAsia="仿宋" w:cs="仿宋"/>
          <w:color w:val="000000"/>
          <w:sz w:val="24"/>
          <w:highlight w:val="none"/>
        </w:rPr>
      </w:pPr>
      <w:bookmarkStart w:id="192" w:name="auto_fouce_5"/>
      <w:r>
        <w:rPr>
          <w:rFonts w:hint="eastAsia" w:ascii="仿宋" w:hAnsi="仿宋" w:eastAsia="仿宋" w:cs="仿宋"/>
          <w:color w:val="000000"/>
          <w:szCs w:val="21"/>
          <w:highlight w:val="none"/>
        </w:rPr>
        <w:t>（</w:t>
      </w:r>
      <w:r>
        <w:rPr>
          <w:rFonts w:hint="eastAsia" w:ascii="仿宋" w:hAnsi="仿宋" w:eastAsia="仿宋" w:cs="仿宋"/>
          <w:color w:val="000000"/>
          <w:sz w:val="24"/>
          <w:highlight w:val="none"/>
        </w:rPr>
        <w:t>1）分包人已收到并阅读了总包合同，工期顺延同意按总包合同相应条款执行，若分包人未按照合同书约定的开工/竣工日期开工/竣工，或未按承包人或发包人同意顺延的工期竣工，以及未按合同书约定日期提供竣工图纸的，造成本分包工程工期或和总包工程工期延误的，工期（开工/竣工）、提交图纸日期每逾期</w:t>
      </w:r>
      <w:r>
        <w:rPr>
          <w:rFonts w:hint="eastAsia" w:ascii="仿宋" w:hAnsi="仿宋" w:eastAsia="仿宋" w:cs="仿宋"/>
          <w:color w:val="000000"/>
          <w:sz w:val="24"/>
          <w:highlight w:val="none"/>
          <w:u w:val="single"/>
        </w:rPr>
        <w:t>一日</w:t>
      </w:r>
      <w:r>
        <w:rPr>
          <w:rFonts w:hint="eastAsia" w:ascii="仿宋" w:hAnsi="仿宋" w:eastAsia="仿宋" w:cs="仿宋"/>
          <w:color w:val="000000"/>
          <w:sz w:val="24"/>
          <w:highlight w:val="none"/>
        </w:rPr>
        <w:t>，分包人承担本合同书总价款</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rPr>
        <w:t>%的违约金及承担由此给承包人造成的一切损失。工期（开工/竣工）逾期日以上的，承包人并有权选择解除本合同书。</w:t>
      </w:r>
    </w:p>
    <w:p w14:paraId="513E9E3D">
      <w:pPr>
        <w:spacing w:line="400" w:lineRule="exact"/>
        <w:ind w:firstLine="480" w:firstLineChars="200"/>
        <w:rPr>
          <w:rFonts w:ascii="仿宋" w:hAnsi="仿宋" w:eastAsia="仿宋" w:cs="仿宋"/>
          <w:color w:val="000000"/>
          <w:sz w:val="24"/>
          <w:highlight w:val="none"/>
        </w:rPr>
      </w:pPr>
      <w:bookmarkStart w:id="193" w:name="auto_fouce_6"/>
      <w:r>
        <w:rPr>
          <w:rFonts w:hint="eastAsia" w:ascii="仿宋" w:hAnsi="仿宋" w:eastAsia="仿宋" w:cs="仿宋"/>
          <w:color w:val="000000"/>
          <w:sz w:val="24"/>
          <w:highlight w:val="none"/>
        </w:rPr>
        <w:t>（</w:t>
      </w:r>
      <w:bookmarkEnd w:id="192"/>
      <w:r>
        <w:rPr>
          <w:rFonts w:hint="eastAsia" w:ascii="仿宋" w:hAnsi="仿宋" w:eastAsia="仿宋" w:cs="仿宋"/>
          <w:color w:val="000000"/>
          <w:sz w:val="24"/>
          <w:highlight w:val="none"/>
        </w:rPr>
        <w:t>2）若分包人完成本合同书工程质量达不到合同书约定的质量标准的，分包人应按本合同书总价款</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rPr>
        <w:t>向承包人支付违约金；如违约金不足以弥补承包人损失时，分包人还应承担赔偿责任。承包人并有权选择解除本合同书。</w:t>
      </w:r>
      <w:bookmarkEnd w:id="193"/>
    </w:p>
    <w:p w14:paraId="2F3CCA56">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（3）双方约定的分包人的其他违约责任：</w:t>
      </w:r>
    </w:p>
    <w:p w14:paraId="0D921378">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 A、承包人完全依约履行本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，分包人单方违约解除本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时，分包人应按本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总价款20 %向承包人支付违约金；如违约金不足以弥补承包人损失时，分包人还应承担赔偿责任。</w:t>
      </w:r>
    </w:p>
    <w:p w14:paraId="6290D219">
      <w:pPr>
        <w:spacing w:line="400" w:lineRule="exact"/>
        <w:ind w:firstLine="600" w:firstLineChars="250"/>
        <w:rPr>
          <w:rFonts w:ascii="仿宋" w:hAnsi="仿宋" w:eastAsia="仿宋" w:cs="仿宋"/>
          <w:color w:val="000000"/>
          <w:sz w:val="24"/>
          <w:highlight w:val="none"/>
        </w:rPr>
      </w:pPr>
      <w:r>
        <w:rPr>
          <w:rFonts w:hint="eastAsia" w:ascii="仿宋" w:hAnsi="仿宋" w:eastAsia="仿宋" w:cs="仿宋"/>
          <w:color w:val="000000"/>
          <w:sz w:val="24"/>
          <w:highlight w:val="none"/>
        </w:rPr>
        <w:t>B、承包人因分包人违约根据本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约定解除合同时，分包人应按本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总价款20%向承包人支付违约金；如违约金不足以弥补承包人损失时，分包人还应承担赔偿责任。同时，分包人必须按承包人要求和规定时间交还全部掌握资料，腾清施工场地，交接和确定分包人完成的施工形象部位，并服从承包人安排与承包人或和承包人指定单位完成交接，否则，以承包人及其监理确定的施工部位为准进行最终结算。</w:t>
      </w:r>
    </w:p>
    <w:p w14:paraId="51DF111D">
      <w:pPr>
        <w:spacing w:line="400" w:lineRule="exact"/>
        <w:ind w:firstLine="600" w:firstLineChars="250"/>
        <w:rPr>
          <w:rFonts w:ascii="仿宋" w:hAnsi="仿宋" w:eastAsia="仿宋" w:cs="仿宋"/>
          <w:color w:val="000000"/>
          <w:sz w:val="24"/>
          <w:highlight w:val="none"/>
        </w:rPr>
      </w:pPr>
      <w:r>
        <w:rPr>
          <w:rFonts w:hint="eastAsia" w:ascii="仿宋" w:hAnsi="仿宋" w:eastAsia="仿宋" w:cs="仿宋"/>
          <w:color w:val="000000"/>
          <w:sz w:val="24"/>
          <w:highlight w:val="none"/>
        </w:rPr>
        <w:t>C、在施工过程中，分包人必须服从承包人的管理、指挥，若由于分包人原因致使承包人与发包人之间的总包合同不能正常履行，</w:t>
      </w:r>
      <w:r>
        <w:rPr>
          <w:rFonts w:hint="eastAsia" w:ascii="仿宋" w:hAnsi="仿宋" w:eastAsia="仿宋" w:cs="仿宋"/>
          <w:color w:val="000000"/>
          <w:sz w:val="24"/>
          <w:highlight w:val="none"/>
          <w:lang w:eastAsia="zh-CN"/>
        </w:rPr>
        <w:t>或分包人违法转包或非法分包给任何第三人的，</w:t>
      </w:r>
      <w:r>
        <w:rPr>
          <w:rFonts w:hint="eastAsia" w:ascii="仿宋" w:hAnsi="仿宋" w:eastAsia="仿宋" w:cs="仿宋"/>
          <w:color w:val="000000"/>
          <w:sz w:val="24"/>
          <w:highlight w:val="none"/>
        </w:rPr>
        <w:t>则承包人作为中标单位有权选择解除本合同书，另行发包其他单位完成中标工程，</w:t>
      </w:r>
      <w:r>
        <w:rPr>
          <w:rFonts w:hint="eastAsia" w:ascii="仿宋" w:hAnsi="仿宋" w:eastAsia="仿宋" w:cs="仿宋"/>
          <w:color w:val="000000"/>
          <w:sz w:val="24"/>
          <w:highlight w:val="none"/>
          <w:lang w:eastAsia="zh-CN"/>
        </w:rPr>
        <w:t>承包人并不因此承担任何违约责任，</w:t>
      </w:r>
      <w:r>
        <w:rPr>
          <w:rFonts w:hint="eastAsia" w:ascii="仿宋" w:hAnsi="仿宋" w:eastAsia="仿宋" w:cs="仿宋"/>
          <w:color w:val="000000"/>
          <w:sz w:val="24"/>
          <w:highlight w:val="none"/>
        </w:rPr>
        <w:t>对此分包人保证服从。</w:t>
      </w:r>
    </w:p>
    <w:p w14:paraId="63F8EC70">
      <w:pPr>
        <w:spacing w:line="400" w:lineRule="exact"/>
        <w:ind w:firstLine="600" w:firstLineChars="250"/>
        <w:rPr>
          <w:rFonts w:ascii="仿宋" w:hAnsi="仿宋" w:eastAsia="仿宋" w:cs="仿宋"/>
          <w:color w:val="000000"/>
          <w:sz w:val="24"/>
          <w:highlight w:val="none"/>
        </w:rPr>
      </w:pPr>
      <w:r>
        <w:rPr>
          <w:rFonts w:hint="eastAsia" w:ascii="仿宋" w:hAnsi="仿宋" w:eastAsia="仿宋" w:cs="仿宋"/>
          <w:color w:val="000000"/>
          <w:sz w:val="24"/>
          <w:highlight w:val="none"/>
        </w:rPr>
        <w:t>D、分包人应按结算价提供全额的有效发票，若所提供的为虚假发票，则承包人有权扣除</w:t>
      </w:r>
      <w:r>
        <w:rPr>
          <w:rFonts w:hint="eastAsia" w:ascii="仿宋" w:hAnsi="仿宋" w:eastAsia="仿宋" w:cs="仿宋"/>
          <w:color w:val="000000"/>
          <w:sz w:val="24"/>
          <w:highlight w:val="none"/>
          <w:u w:val="single"/>
        </w:rPr>
        <w:t>结算价款的20%</w:t>
      </w:r>
      <w:r>
        <w:rPr>
          <w:rFonts w:hint="eastAsia" w:ascii="仿宋" w:hAnsi="仿宋" w:eastAsia="仿宋" w:cs="仿宋"/>
          <w:color w:val="000000"/>
          <w:sz w:val="24"/>
          <w:highlight w:val="none"/>
        </w:rPr>
        <w:t>。</w:t>
      </w:r>
    </w:p>
    <w:p w14:paraId="3C6D65B1">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（4）未经承包人书面授权，分包人无论以任何名义与借口直接与发包人结款、借款等，按分包人或和其经手人违法侵占承包人国有企业资金依法承担法律责任。</w:t>
      </w:r>
    </w:p>
    <w:p w14:paraId="142CBB20">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5）承包人已从发包人处结算资金，但对该笔资金不按约定与分包人结算时按迟延付款承担违约责任；反之，如承包人尚未自发包人处结算获得资金，分包人以诉讼或和影响承包人及其集团内机构办公等形式主张支付尚未结算款项时，承包人有权拒付，同时分包人在此后结算中按迟延付款的违约标准向承包人支付违约金。</w:t>
      </w:r>
    </w:p>
    <w:p w14:paraId="64E467B6">
      <w:pPr>
        <w:spacing w:line="400" w:lineRule="exact"/>
        <w:ind w:firstLine="480" w:firstLineChars="200"/>
        <w:rPr>
          <w:rFonts w:hint="default"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（6）若分包人出现未按承诺及时足额支付农民工工资情形，导致农民工向承包人通过包括但不限于诉讼等方式主张权益的，分包人按照本合同总额的</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lang w:val="en-US" w:eastAsia="zh-CN"/>
        </w:rPr>
        <w:t xml:space="preserve"> %向承包人支付违约金，并承担由此给承包人造成的诉讼费、律师费、保全费等一切损失。</w:t>
      </w:r>
    </w:p>
    <w:p w14:paraId="0B209A47">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2、争议</w:t>
      </w:r>
    </w:p>
    <w:p w14:paraId="3087A44E">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双方约定，在履行本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过程中产生争议，双方协商解决或者调解不成时，</w:t>
      </w:r>
    </w:p>
    <w:p w14:paraId="5040E7EF">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下列第</w:t>
      </w:r>
      <w:r>
        <w:rPr>
          <w:rFonts w:hint="eastAsia" w:ascii="仿宋" w:hAnsi="仿宋" w:eastAsia="仿宋" w:cs="仿宋"/>
          <w:color w:val="000000"/>
          <w:sz w:val="24"/>
          <w:highlight w:val="none"/>
          <w:u w:val="single"/>
        </w:rPr>
        <w:t xml:space="preserve">   1    </w:t>
      </w:r>
      <w:r>
        <w:rPr>
          <w:rFonts w:hint="eastAsia" w:ascii="仿宋" w:hAnsi="仿宋" w:eastAsia="仿宋" w:cs="仿宋"/>
          <w:color w:val="000000"/>
          <w:sz w:val="24"/>
          <w:highlight w:val="none"/>
        </w:rPr>
        <w:t>种方式解决争议：</w:t>
      </w:r>
    </w:p>
    <w:p w14:paraId="323D0D42">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（1）将争议提交</w:t>
      </w:r>
      <w:r>
        <w:rPr>
          <w:rFonts w:hint="eastAsia" w:ascii="仿宋" w:hAnsi="仿宋" w:eastAsia="仿宋" w:cs="仿宋"/>
          <w:color w:val="000000"/>
          <w:sz w:val="24"/>
          <w:highlight w:val="none"/>
          <w:u w:val="single"/>
        </w:rPr>
        <w:t xml:space="preserve"> 中国国际经济贸易仲裁委员会天津分会以三人仲裁庭  </w:t>
      </w:r>
      <w:r>
        <w:rPr>
          <w:rFonts w:hint="eastAsia" w:ascii="仿宋" w:hAnsi="仿宋" w:eastAsia="仿宋" w:cs="仿宋"/>
          <w:color w:val="000000"/>
          <w:sz w:val="24"/>
          <w:highlight w:val="none"/>
        </w:rPr>
        <w:t>仲裁；</w:t>
      </w:r>
    </w:p>
    <w:p w14:paraId="4C2D2E2D">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（2）依法向有管辖权的人民法院提起诉讼。</w:t>
      </w:r>
    </w:p>
    <w:p w14:paraId="0EEB69D0">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十、保险及担保</w:t>
      </w:r>
    </w:p>
    <w:p w14:paraId="6079C85E">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1、保险</w:t>
      </w:r>
    </w:p>
    <w:p w14:paraId="75142D8A">
      <w:pPr>
        <w:snapToGrid w:val="0"/>
        <w:spacing w:line="400" w:lineRule="exact"/>
        <w:ind w:firstLine="480" w:firstLineChars="200"/>
        <w:rPr>
          <w:rFonts w:ascii="仿宋" w:hAnsi="仿宋" w:eastAsia="仿宋" w:cs="仿宋"/>
          <w:color w:val="000000"/>
          <w:sz w:val="24"/>
          <w:highlight w:val="none"/>
          <w:u w:val="single"/>
        </w:rPr>
      </w:pPr>
      <w:r>
        <w:rPr>
          <w:rFonts w:hint="eastAsia" w:ascii="仿宋" w:hAnsi="仿宋" w:eastAsia="仿宋" w:cs="仿宋"/>
          <w:color w:val="000000"/>
          <w:sz w:val="24"/>
          <w:highlight w:val="none"/>
        </w:rPr>
        <w:t>（1）承包人投保内容和责任：</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 xml:space="preserve">。                                    </w:t>
      </w:r>
    </w:p>
    <w:p w14:paraId="5F92AE41">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（2）分包人投保内容和责任：</w:t>
      </w:r>
      <w:r>
        <w:rPr>
          <w:rFonts w:hint="eastAsia" w:ascii="仿宋" w:hAnsi="仿宋" w:eastAsia="仿宋" w:cs="仿宋"/>
          <w:color w:val="000000"/>
          <w:sz w:val="24"/>
          <w:highlight w:val="none"/>
          <w:u w:val="single"/>
        </w:rPr>
        <w:t>分包人应为其工作、施工人员投保施工人员意外伤害险</w:t>
      </w:r>
      <w:r>
        <w:rPr>
          <w:rFonts w:hint="eastAsia" w:ascii="仿宋" w:hAnsi="仿宋" w:eastAsia="仿宋" w:cs="仿宋"/>
          <w:color w:val="000000"/>
          <w:sz w:val="24"/>
          <w:highlight w:val="none"/>
          <w:u w:val="single"/>
          <w:lang w:eastAsia="zh-CN"/>
        </w:rPr>
        <w:t>，</w:t>
      </w:r>
      <w:r>
        <w:rPr>
          <w:rFonts w:hint="eastAsia" w:ascii="仿宋" w:hAnsi="仿宋" w:eastAsia="仿宋" w:cs="仿宋"/>
          <w:color w:val="000000"/>
          <w:sz w:val="24"/>
          <w:highlight w:val="none"/>
          <w:u w:val="single"/>
        </w:rPr>
        <w:t xml:space="preserve">并为施工场地内施工机械设备办理保险，支付保险费用。 </w:t>
      </w:r>
      <w:r>
        <w:rPr>
          <w:rFonts w:hint="eastAsia" w:ascii="仿宋" w:hAnsi="仿宋" w:eastAsia="仿宋" w:cs="仿宋"/>
          <w:color w:val="000000"/>
          <w:sz w:val="24"/>
          <w:highlight w:val="none"/>
        </w:rPr>
        <w:t xml:space="preserve">。                                      </w:t>
      </w:r>
    </w:p>
    <w:p w14:paraId="2494E821">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2、担保</w:t>
      </w:r>
    </w:p>
    <w:p w14:paraId="25BABF1D">
      <w:pPr>
        <w:spacing w:line="400" w:lineRule="exact"/>
        <w:ind w:firstLine="480" w:firstLineChars="200"/>
        <w:rPr>
          <w:rFonts w:ascii="仿宋" w:hAnsi="仿宋" w:eastAsia="仿宋" w:cs="仿宋"/>
          <w:color w:val="000000"/>
          <w:sz w:val="24"/>
          <w:highlight w:val="none"/>
          <w:u w:val="single"/>
        </w:rPr>
      </w:pPr>
      <w:r>
        <w:rPr>
          <w:rFonts w:hint="eastAsia" w:ascii="仿宋" w:hAnsi="仿宋" w:eastAsia="仿宋" w:cs="仿宋"/>
          <w:color w:val="000000"/>
          <w:sz w:val="24"/>
          <w:highlight w:val="none"/>
        </w:rPr>
        <w:t>（1）分包人向承包人提供履约担保，担保方式：</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w:t>
      </w:r>
    </w:p>
    <w:p w14:paraId="71EB5713">
      <w:pPr>
        <w:spacing w:line="400" w:lineRule="exact"/>
        <w:ind w:firstLine="480" w:firstLineChars="200"/>
        <w:rPr>
          <w:rFonts w:ascii="仿宋" w:hAnsi="仿宋" w:eastAsia="仿宋" w:cs="仿宋"/>
          <w:b/>
          <w:color w:val="000000"/>
          <w:sz w:val="24"/>
          <w:highlight w:val="none"/>
        </w:rPr>
      </w:pPr>
      <w:r>
        <w:rPr>
          <w:rFonts w:hint="eastAsia" w:ascii="仿宋" w:hAnsi="仿宋" w:eastAsia="仿宋" w:cs="仿宋"/>
          <w:color w:val="000000"/>
          <w:sz w:val="24"/>
          <w:highlight w:val="none"/>
        </w:rPr>
        <w:t>担保额度：</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w:t>
      </w:r>
    </w:p>
    <w:p w14:paraId="03B3375B">
      <w:pPr>
        <w:spacing w:line="400" w:lineRule="exact"/>
        <w:ind w:firstLine="482" w:firstLineChars="200"/>
        <w:rPr>
          <w:rFonts w:hint="eastAsia" w:ascii="仿宋" w:hAnsi="仿宋" w:eastAsia="仿宋" w:cs="仿宋"/>
          <w:b/>
          <w:color w:val="FF0000"/>
          <w:sz w:val="24"/>
          <w:highlight w:val="none"/>
          <w:lang w:eastAsia="zh"/>
        </w:rPr>
      </w:pPr>
      <w:bookmarkStart w:id="194" w:name="auto_fouce_7"/>
      <w:r>
        <w:rPr>
          <w:rFonts w:hint="eastAsia" w:ascii="仿宋" w:hAnsi="仿宋" w:eastAsia="仿宋" w:cs="仿宋"/>
          <w:b/>
          <w:color w:val="000000"/>
          <w:sz w:val="24"/>
          <w:highlight w:val="none"/>
          <w:lang w:eastAsia="zh"/>
        </w:rPr>
        <w:t>十</w:t>
      </w:r>
      <w:r>
        <w:rPr>
          <w:rFonts w:hint="eastAsia" w:ascii="仿宋" w:hAnsi="仿宋" w:eastAsia="仿宋" w:cs="仿宋"/>
          <w:b/>
          <w:color w:val="000000"/>
          <w:sz w:val="24"/>
          <w:highlight w:val="none"/>
          <w:lang w:val="en-US" w:eastAsia="zh-CN"/>
        </w:rPr>
        <w:t>一</w:t>
      </w:r>
      <w:r>
        <w:rPr>
          <w:rFonts w:hint="eastAsia" w:ascii="仿宋" w:hAnsi="仿宋" w:eastAsia="仿宋" w:cs="仿宋"/>
          <w:b/>
          <w:color w:val="000000"/>
          <w:sz w:val="24"/>
          <w:highlight w:val="none"/>
          <w:lang w:eastAsia="zh"/>
        </w:rPr>
        <w:t>、其他</w:t>
      </w:r>
    </w:p>
    <w:p w14:paraId="77B25EE4">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1</w:t>
      </w:r>
      <w:bookmarkEnd w:id="194"/>
      <w:r>
        <w:rPr>
          <w:rFonts w:hint="eastAsia" w:ascii="仿宋" w:hAnsi="仿宋" w:eastAsia="仿宋" w:cs="仿宋"/>
          <w:b/>
          <w:color w:val="000000"/>
          <w:sz w:val="24"/>
          <w:highlight w:val="none"/>
        </w:rPr>
        <w:t>、材料设备供应</w:t>
      </w:r>
    </w:p>
    <w:p w14:paraId="6E3FDDE3">
      <w:pPr>
        <w:spacing w:line="400" w:lineRule="exact"/>
        <w:ind w:firstLine="480" w:firstLineChars="200"/>
        <w:rPr>
          <w:rFonts w:ascii="仿宋" w:hAnsi="仿宋" w:eastAsia="仿宋" w:cs="仿宋"/>
          <w:color w:val="000000"/>
          <w:sz w:val="24"/>
          <w:highlight w:val="none"/>
          <w:u w:val="single"/>
        </w:rPr>
      </w:pPr>
      <w:bookmarkStart w:id="195" w:name="auto_fouce_8"/>
      <w:r>
        <w:rPr>
          <w:rFonts w:hint="eastAsia" w:ascii="仿宋" w:hAnsi="仿宋" w:eastAsia="仿宋" w:cs="仿宋"/>
          <w:color w:val="000000"/>
          <w:sz w:val="24"/>
          <w:highlight w:val="none"/>
        </w:rPr>
        <w:t>由分包人采购材料设备的约定：</w:t>
      </w:r>
      <w:r>
        <w:rPr>
          <w:rFonts w:hint="eastAsia" w:ascii="仿宋" w:hAnsi="仿宋" w:eastAsia="仿宋" w:cs="仿宋"/>
          <w:color w:val="000000"/>
          <w:sz w:val="24"/>
          <w:highlight w:val="none"/>
          <w:lang w:eastAsia="zh"/>
        </w:rPr>
        <w:t>分包人采购的材料设备必须符合国家规定的质量标准，并具备相应的质量合格证明文件。采购前应当将拟采购材料的品牌、规格、型号、产地等报承包人确认，未经承包人书面确认不得采购和使用。材料进场时应经承包人验收合格后方可使用，不合格材料应立即撤出施工现场。因材料不合格导致的工程质量问题和损失由分包人承担。</w:t>
      </w:r>
      <w:bookmarkEnd w:id="195"/>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 xml:space="preserve">。                          </w:t>
      </w:r>
    </w:p>
    <w:p w14:paraId="77A8DD7A">
      <w:pPr>
        <w:numPr>
          <w:ilvl w:val="0"/>
          <w:numId w:val="7"/>
        </w:num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份数：双方约定本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副本</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份，其中，承包人</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份,分包人</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eastAsia="zh-CN"/>
        </w:rPr>
        <w:t>份，</w:t>
      </w:r>
      <w:r>
        <w:rPr>
          <w:rFonts w:hint="eastAsia" w:ascii="仿宋" w:hAnsi="仿宋" w:eastAsia="仿宋" w:cs="仿宋"/>
          <w:color w:val="000000"/>
          <w:sz w:val="24"/>
          <w:highlight w:val="none"/>
        </w:rPr>
        <w:t>每份均由双方加盖骑缝章。</w:t>
      </w:r>
    </w:p>
    <w:p w14:paraId="6CD1828E">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3、补充条款</w:t>
      </w:r>
    </w:p>
    <w:p w14:paraId="5B61BF44">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（1）分包人向承包人承诺，分包人已收到并阅读了总包合同，履行总包合同中与分包工程有关的承包人的所有义务，并与承包人承担履行分包工程合同书即确保分包工程质量的连带责任。</w:t>
      </w:r>
    </w:p>
    <w:p w14:paraId="6F0D958E">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（2）分包人下属员工（包括正式与非正式）在本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履行中发生或和出现任何事故、伤病或和施工中对任何第三方人身、财产损害均由分包人承担经济与法律责任，与承包人无关，并且不得因此要求调整本合同价款</w:t>
      </w:r>
      <w:r>
        <w:rPr>
          <w:rFonts w:hint="eastAsia" w:ascii="仿宋" w:hAnsi="仿宋" w:eastAsia="仿宋" w:cs="仿宋"/>
          <w:color w:val="000000"/>
          <w:sz w:val="24"/>
          <w:highlight w:val="none"/>
          <w:lang w:eastAsia="zh-CN"/>
        </w:rPr>
        <w:t>。</w:t>
      </w:r>
    </w:p>
    <w:p w14:paraId="4C0E4D8E">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（3）本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一方主体，依</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约定解除本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 xml:space="preserve">后，分包人必须按照承包人通知的时间到施工现场共同确认分包人的具体施工完成的进度（工程量）与节点，如分包人迟延或和拒绝到场，视为分包人同意以承包人和监理单位的书面确认为准。同时，保证按承包人要求腾空现场，否则赔偿承包人由此产生的全部损失。 </w:t>
      </w:r>
    </w:p>
    <w:p w14:paraId="189BAF17">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（4）分包人进行施工需严格执行</w:t>
      </w:r>
      <w:r>
        <w:rPr>
          <w:rFonts w:hint="eastAsia" w:ascii="仿宋" w:hAnsi="仿宋" w:eastAsia="仿宋" w:cs="仿宋"/>
          <w:color w:val="000000"/>
          <w:sz w:val="24"/>
          <w:highlight w:val="none"/>
          <w:u w:val="single"/>
        </w:rPr>
        <w:t>工程所在地建设工程文明施工管理规定</w:t>
      </w:r>
      <w:r>
        <w:rPr>
          <w:rFonts w:hint="eastAsia" w:ascii="仿宋" w:hAnsi="仿宋" w:eastAsia="仿宋" w:cs="仿宋"/>
          <w:color w:val="000000"/>
          <w:sz w:val="24"/>
          <w:highlight w:val="none"/>
        </w:rPr>
        <w:t xml:space="preserve">。  </w:t>
      </w:r>
    </w:p>
    <w:p w14:paraId="4FEBE483">
      <w:pPr>
        <w:spacing w:line="400" w:lineRule="exact"/>
        <w:ind w:firstLine="480" w:firstLineChars="200"/>
        <w:rPr>
          <w:rFonts w:ascii="仿宋" w:hAnsi="仿宋" w:eastAsia="仿宋" w:cs="仿宋"/>
          <w:color w:val="000000"/>
          <w:sz w:val="24"/>
          <w:highlight w:val="none"/>
        </w:rPr>
      </w:pPr>
      <w:bookmarkStart w:id="196" w:name="auto_fouce_9"/>
      <w:r>
        <w:rPr>
          <w:rFonts w:hint="eastAsia" w:ascii="仿宋" w:hAnsi="仿宋" w:eastAsia="仿宋" w:cs="仿宋"/>
          <w:color w:val="000000"/>
          <w:sz w:val="24"/>
          <w:highlight w:val="none"/>
        </w:rPr>
        <w:t>（5）为使双方更好的协作，达到双赢的目的，工程中标后在签订本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的同时由分包人提供工程总造价</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 xml:space="preserve">的履约保证金，保证工程顺利进行，待工程竣工验收合格，分包人提供竣工验收备案所需全部资料、结算完毕、工程款全部支付完毕、承包人向发包人提供的全部保函均已到期失效后，承包人向分包人退还履约保证金（无息）。  </w:t>
      </w:r>
      <w:bookmarkEnd w:id="196"/>
      <w:r>
        <w:rPr>
          <w:rFonts w:hint="eastAsia" w:ascii="仿宋" w:hAnsi="仿宋" w:eastAsia="仿宋" w:cs="仿宋"/>
          <w:color w:val="000000"/>
          <w:sz w:val="24"/>
          <w:highlight w:val="none"/>
        </w:rPr>
        <w:t xml:space="preserve">                                  </w:t>
      </w:r>
    </w:p>
    <w:p w14:paraId="372788E8">
      <w:pPr>
        <w:spacing w:line="400" w:lineRule="exact"/>
        <w:ind w:firstLine="480" w:firstLineChars="200"/>
        <w:rPr>
          <w:rFonts w:ascii="仿宋" w:hAnsi="仿宋" w:eastAsia="仿宋" w:cs="仿宋"/>
          <w:color w:val="000000"/>
          <w:kern w:val="0"/>
          <w:sz w:val="24"/>
          <w:highlight w:val="none"/>
        </w:rPr>
      </w:pPr>
      <w:r>
        <w:rPr>
          <w:rFonts w:hint="eastAsia" w:ascii="仿宋" w:hAnsi="仿宋" w:eastAsia="仿宋" w:cs="仿宋"/>
          <w:color w:val="000000"/>
          <w:sz w:val="24"/>
          <w:highlight w:val="none"/>
        </w:rPr>
        <w:t>（6）</w:t>
      </w:r>
      <w:r>
        <w:rPr>
          <w:rFonts w:hint="eastAsia" w:ascii="仿宋" w:hAnsi="仿宋" w:eastAsia="仿宋" w:cs="仿宋"/>
          <w:color w:val="000000"/>
          <w:kern w:val="0"/>
          <w:sz w:val="24"/>
          <w:highlight w:val="none"/>
        </w:rPr>
        <w:t>在进行本分包工程施工过程中，经承包人事先确认的材料部分（主要限于非主材部分），由分包人以本方名义自行采购并承担相应责任，因此发生的费用已经包含在合同价款中，承包人无需另行支付，因此发生的争议与纠纷均与承包人无关。</w:t>
      </w:r>
    </w:p>
    <w:p w14:paraId="7B4707DF">
      <w:pPr>
        <w:spacing w:line="400" w:lineRule="exact"/>
        <w:ind w:firstLine="480" w:firstLineChars="200"/>
        <w:rPr>
          <w:rFonts w:ascii="仿宋" w:hAnsi="仿宋" w:eastAsia="仿宋" w:cs="仿宋"/>
          <w:color w:val="000000"/>
          <w:kern w:val="0"/>
          <w:sz w:val="24"/>
          <w:highlight w:val="none"/>
        </w:rPr>
      </w:pPr>
      <w:bookmarkStart w:id="197" w:name="auto_fouce_10"/>
      <w:r>
        <w:rPr>
          <w:rFonts w:hint="eastAsia" w:ascii="仿宋" w:hAnsi="仿宋" w:eastAsia="仿宋" w:cs="仿宋"/>
          <w:color w:val="000000"/>
          <w:kern w:val="0"/>
          <w:sz w:val="24"/>
          <w:highlight w:val="none"/>
        </w:rPr>
        <w:t>（7）分包人与承包人进行材料交接时，填写交接记录并双方项目负责人签字确认，分包人从承包人处领用的剩余材料在</w:t>
      </w:r>
      <w:r>
        <w:rPr>
          <w:rFonts w:hint="eastAsia" w:ascii="仿宋" w:hAnsi="仿宋" w:eastAsia="仿宋" w:cs="仿宋"/>
          <w:color w:val="000000"/>
          <w:kern w:val="0"/>
          <w:sz w:val="24"/>
          <w:highlight w:val="none"/>
          <w:u w:val="single"/>
          <w:lang w:val="en-US" w:eastAsia="zh-CN"/>
        </w:rPr>
        <w:t xml:space="preserve">      </w:t>
      </w:r>
      <w:r>
        <w:rPr>
          <w:rFonts w:hint="eastAsia" w:ascii="仿宋" w:hAnsi="仿宋" w:eastAsia="仿宋" w:cs="仿宋"/>
          <w:color w:val="000000"/>
          <w:kern w:val="0"/>
          <w:sz w:val="24"/>
          <w:highlight w:val="none"/>
        </w:rPr>
        <w:t>日内悉数退回，否则，承包人有权自尚未支付的工程款中直接扣除未退回的剩余材料费，并扣除分包人完工工程所需功能性试验等后续工作的费用。</w:t>
      </w:r>
      <w:bookmarkEnd w:id="197"/>
    </w:p>
    <w:p w14:paraId="15E09F60">
      <w:pPr>
        <w:spacing w:line="400" w:lineRule="exact"/>
        <w:ind w:firstLine="480" w:firstLineChars="200"/>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8）在进行本分包工程施工过程中，分包人以本方名义雇佣人员，分包人与雇佣人员间建立法律关系并承担相应责任，因拖欠雇佣人员工资或和分包人员工（含雇佣人员）发生任何事故、争议等均由分包人自行解决，与承包人无关。</w:t>
      </w:r>
    </w:p>
    <w:p w14:paraId="029680A2">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（9）为方便承包人进行项目管理，分包人应提供单位的营业执照、资质证书、安全施工许可证、法人及委托人身份证复印件及法人代表委托书原件，作为本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 xml:space="preserve">的附件。   </w:t>
      </w:r>
    </w:p>
    <w:p w14:paraId="2EF963A7">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10）双方项目负责人无权签署对本合同任何内容予以变更的文件，对交接双方材料文件等事宜应据实签署接受，不得拒绝，但接受不代表对对方文件内容和要求的确认；任何对本合同的变更调整须经双方签署补充合同补充约定，并经双方加盖公章方为有效。</w:t>
      </w:r>
    </w:p>
    <w:p w14:paraId="230969BE">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（11）在本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有效期内，</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尾部所列双方任何一方的基本情况中的任何一项或几项包括但不限于</w:t>
      </w:r>
      <w:r>
        <w:rPr>
          <w:rFonts w:hint="eastAsia" w:ascii="仿宋" w:hAnsi="仿宋" w:eastAsia="仿宋" w:cs="仿宋"/>
          <w:color w:val="000000"/>
          <w:sz w:val="24"/>
          <w:highlight w:val="none"/>
          <w:u w:val="single"/>
        </w:rPr>
        <w:t>名称/联系地址/电话/电子信箱</w:t>
      </w:r>
      <w:r>
        <w:rPr>
          <w:rFonts w:hint="eastAsia" w:ascii="仿宋" w:hAnsi="仿宋" w:eastAsia="仿宋" w:cs="仿宋"/>
          <w:color w:val="000000"/>
          <w:sz w:val="24"/>
          <w:highlight w:val="none"/>
        </w:rPr>
        <w:t>等的变更，该方均应在第一时间以书面形式通知另一方，否则另一方以依尾部记载向该方联系地址/电话/电子信箱发出的信函/通知等均为有效并视为已即时送达。</w:t>
      </w:r>
    </w:p>
    <w:p w14:paraId="0D591AE4">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（12）因本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纠纷仲裁时。败诉方应承担仲裁费用和胜诉方因仲裁案件和不服从裁决执行而发生的律师费及其他一切费用。</w:t>
      </w:r>
    </w:p>
    <w:p w14:paraId="6B699402">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当双方发生任何争议或和发生任何诉讼、仲裁时，在依本</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约定发出的解除</w:t>
      </w:r>
      <w:r>
        <w:rPr>
          <w:rFonts w:hint="eastAsia" w:ascii="仿宋" w:hAnsi="仿宋" w:eastAsia="仿宋" w:cs="仿宋"/>
          <w:bCs/>
          <w:color w:val="000000"/>
          <w:sz w:val="24"/>
          <w:highlight w:val="none"/>
        </w:rPr>
        <w:t>合同书</w:t>
      </w:r>
      <w:r>
        <w:rPr>
          <w:rFonts w:hint="eastAsia" w:ascii="仿宋" w:hAnsi="仿宋" w:eastAsia="仿宋" w:cs="仿宋"/>
          <w:color w:val="000000"/>
          <w:sz w:val="24"/>
          <w:highlight w:val="none"/>
        </w:rPr>
        <w:t>通知或判决/裁决判令本合同解除生效前，分包人仍需按本合同约定履行合同责任与义务，否则，分包人需按本合同约定向承包人支付违约金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元。</w:t>
      </w:r>
    </w:p>
    <w:p w14:paraId="18F2C0A9">
      <w:pPr>
        <w:spacing w:line="400" w:lineRule="exact"/>
        <w:ind w:firstLine="480" w:firstLineChars="200"/>
        <w:rPr>
          <w:rFonts w:ascii="仿宋" w:hAnsi="仿宋" w:eastAsia="仿宋" w:cs="仿宋"/>
          <w:color w:val="000000"/>
          <w:sz w:val="24"/>
          <w:highlight w:val="none"/>
        </w:rPr>
      </w:pPr>
      <w:bookmarkStart w:id="198" w:name="auto_fouce_11"/>
      <w:r>
        <w:rPr>
          <w:rFonts w:hint="eastAsia" w:ascii="仿宋" w:hAnsi="仿宋" w:eastAsia="仿宋" w:cs="仿宋"/>
          <w:color w:val="000000"/>
          <w:sz w:val="24"/>
          <w:highlight w:val="none"/>
        </w:rPr>
        <w:t>（13）分包人负责所有施工中安全管理工作，除非承包人存有故意，否则任何分包人负责的工程所导致任何单位与个人（含双方当事人的职工或和聘用人员）的人身、财产损失时均由分包人承担由此产生的全部经济与法律责任。分包人承诺对于安全工作遵守与承包人签订的《安全合同》约定（具体约定见本合同书附件），认可承包人的检查与考核扣罚结果，并按照承包人的要求限期整改。否则承包人作为中标单位有权选择解除本合同书，另行发包其他单位完成中标工程，对此分包人保证服从承包人决定，按承包人要求时间撤场和完成交接，否则应向承包人支付违约金</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rPr>
        <w:t>元，并承担由此给承包人造成的一切损失。</w:t>
      </w:r>
    </w:p>
    <w:p w14:paraId="0A232F23">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（14）分包人保证，本方任何在施工中与承包人产生的纠纷与分歧，不论是协商、诉讼、仲裁，均不停止对本合同约定工程的施工，不停止对任何涉及工程验收或和竣工验收及其资料的</w:t>
      </w:r>
      <w:bookmarkEnd w:id="198"/>
      <w:r>
        <w:rPr>
          <w:rFonts w:hint="eastAsia" w:ascii="仿宋" w:hAnsi="仿宋" w:eastAsia="仿宋" w:cs="仿宋"/>
          <w:color w:val="000000"/>
          <w:sz w:val="24"/>
          <w:highlight w:val="none"/>
        </w:rPr>
        <w:t>整理和提交，否则由此产生的所有损失均由分包人负责与承担。</w:t>
      </w:r>
    </w:p>
    <w:p w14:paraId="45FA1C6F">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（15）分包人确认，在施工中任何施工措施的采取及其机具、工具的使用，或和原材物料的使用与购买，一定认真审查，确保不对第三方的所有权、知识产权等合法权益的侵犯。否则</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由此产生的所有损失和责任均由分包人承担。</w:t>
      </w:r>
    </w:p>
    <w:p w14:paraId="78B0B1D3">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（16）分包人保证按照竣工备案要求提交竣工资料，任何由于分包人的责任与原因导致竣工验收或和备案工程迟延的均由分包人承担赔偿责任。</w:t>
      </w:r>
    </w:p>
    <w:p w14:paraId="66A22C4E">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17）若政府部门决定该项目停建、缓建，承包人书面通知分包人后，本合同中止，对此双方无需承担违约与赔偿责任。若自合同中止之日起三个月内该项目继续进行，分包人应自收到承包人复工通知后立即复工而不产生任何费用之调整；如合同中止时间超过三个月的，则任何一方均有权选择解除本合同。对此双方按实际工作量并依本合同标准予以结算且互不承担违约与赔偿责任。</w:t>
      </w:r>
    </w:p>
    <w:p w14:paraId="78ACCDC9">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ascii="仿宋" w:hAnsi="仿宋" w:eastAsia="仿宋" w:cs="仿宋"/>
          <w:bCs/>
          <w:color w:val="000000"/>
          <w:highlight w:val="none"/>
        </w:rPr>
      </w:pPr>
      <w:bookmarkStart w:id="199" w:name="auto_fouce_12"/>
      <w:r>
        <w:rPr>
          <w:rFonts w:hint="eastAsia" w:ascii="仿宋" w:hAnsi="仿宋" w:eastAsia="仿宋" w:cs="仿宋"/>
          <w:bCs/>
          <w:color w:val="000000"/>
          <w:highlight w:val="none"/>
        </w:rPr>
        <w:t>（18）不论因何种原因导致本合同终止的，分包人均应在合同终止日起</w:t>
      </w:r>
      <w:r>
        <w:rPr>
          <w:rFonts w:hint="eastAsia" w:ascii="仿宋" w:hAnsi="仿宋" w:eastAsia="仿宋" w:cs="仿宋"/>
          <w:bCs/>
          <w:color w:val="000000"/>
          <w:highlight w:val="none"/>
          <w:lang w:eastAsia="zh"/>
        </w:rPr>
        <w:t>7</w:t>
      </w:r>
      <w:r>
        <w:rPr>
          <w:rFonts w:hint="eastAsia" w:ascii="仿宋" w:hAnsi="仿宋" w:eastAsia="仿宋" w:cs="仿宋"/>
          <w:bCs/>
          <w:color w:val="000000"/>
          <w:highlight w:val="none"/>
        </w:rPr>
        <w:t>日内将本方的人员和设备、设施等撤出施工现场和承包人办公场所，不得以任何理由拒绝撤出。逾期撤离的，每逾期一日，分包人向承包人支付违约金</w:t>
      </w:r>
      <w:r>
        <w:rPr>
          <w:rFonts w:hint="eastAsia" w:ascii="仿宋" w:hAnsi="仿宋" w:eastAsia="仿宋" w:cs="仿宋"/>
          <w:bCs/>
          <w:color w:val="000000"/>
          <w:highlight w:val="none"/>
          <w:lang w:eastAsia="zh"/>
        </w:rPr>
        <w:t>5000</w:t>
      </w:r>
      <w:r>
        <w:rPr>
          <w:rFonts w:hint="eastAsia" w:ascii="仿宋" w:hAnsi="仿宋" w:eastAsia="仿宋" w:cs="仿宋"/>
          <w:bCs/>
          <w:color w:val="000000"/>
          <w:highlight w:val="none"/>
        </w:rPr>
        <w:t>元。逾期超过</w:t>
      </w:r>
      <w:r>
        <w:rPr>
          <w:rFonts w:hint="eastAsia" w:ascii="仿宋" w:hAnsi="仿宋" w:eastAsia="仿宋" w:cs="仿宋"/>
          <w:bCs/>
          <w:color w:val="000000"/>
          <w:highlight w:val="none"/>
          <w:lang w:eastAsia="zh"/>
        </w:rPr>
        <w:t>30</w:t>
      </w:r>
      <w:r>
        <w:rPr>
          <w:rFonts w:hint="eastAsia" w:ascii="仿宋" w:hAnsi="仿宋" w:eastAsia="仿宋" w:cs="仿宋"/>
          <w:bCs/>
          <w:color w:val="000000"/>
          <w:highlight w:val="none"/>
        </w:rPr>
        <w:t>日的，视为分包人放弃对相关设备、设施的权利，承包人有权自行处置，因此产生的费用有权自尚未支付分包人的款项中扣除。</w:t>
      </w:r>
      <w:bookmarkEnd w:id="199"/>
    </w:p>
    <w:p w14:paraId="4867B800">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ascii="仿宋" w:hAnsi="仿宋" w:eastAsia="仿宋" w:cs="仿宋"/>
          <w:bCs/>
          <w:color w:val="000000"/>
          <w:highlight w:val="none"/>
        </w:rPr>
      </w:pPr>
      <w:r>
        <w:rPr>
          <w:rFonts w:hint="eastAsia" w:ascii="仿宋" w:hAnsi="仿宋" w:eastAsia="仿宋" w:cs="仿宋"/>
          <w:bCs/>
          <w:color w:val="000000"/>
          <w:highlight w:val="none"/>
        </w:rPr>
        <w:t>（19）分包人应确保所完成施工的质量，应符合总承包合同约定的质量标准。分包人自施工完毕之日起7日内向承包人提交《书面完工报告》，通知承包人验收；承包人应当在收到分包人的上述报告后7天内对分包人施工成果进行验收。但承包人与发包人间的隐蔽工程验收结果或工程竣工验收结果表明分包人施工质量不合格时，分包人应负责无偿修复，不延长工期，并承担逾期违约责任以及由此导致承包人各项损失的赔偿责任。</w:t>
      </w:r>
    </w:p>
    <w:p w14:paraId="2DA23148">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ascii="仿宋" w:hAnsi="仿宋" w:eastAsia="仿宋" w:cs="仿宋"/>
          <w:bCs/>
          <w:color w:val="000000"/>
          <w:highlight w:val="none"/>
        </w:rPr>
      </w:pPr>
      <w:r>
        <w:rPr>
          <w:rFonts w:hint="eastAsia" w:ascii="仿宋" w:hAnsi="仿宋" w:eastAsia="仿宋" w:cs="仿宋"/>
          <w:bCs/>
          <w:color w:val="000000"/>
          <w:highlight w:val="none"/>
        </w:rPr>
        <w:t>（20）分包人不得将本合同项下的分包工程违法转包或分包给任何第三方（不论是否具有施工资质的其他法人或其他组织及自然人）。否则，分包人应当按照合同约定价款30%向承包人支付违约金，同时，承包人有权向分包人追究由于其转包、再分包给承包人造成诉讼或仲裁的合理支出（包括但不限于律师费、差旅费、交通费及败诉损失等）。上述违约金不足以弥补承包人经济损失的，分包人继续承担赔偿责任。</w:t>
      </w:r>
    </w:p>
    <w:p w14:paraId="7B79D1A5">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因分包人违法转包、分包导致工程质量出现安全问题，如承包人对外代为承担经济赔偿后，有权向分包人予以追偿；分包人按照承包人的实际损失150%支付违约金，且承包人有权自应付工程款中一并扣除。</w:t>
      </w:r>
    </w:p>
    <w:p w14:paraId="6CE41DBF">
      <w:pPr>
        <w:pStyle w:val="34"/>
        <w:tabs>
          <w:tab w:val="left" w:pos="195"/>
          <w:tab w:val="left" w:pos="840"/>
          <w:tab w:val="left" w:pos="1050"/>
        </w:tabs>
        <w:adjustRightInd w:val="0"/>
        <w:snapToGrid w:val="0"/>
        <w:spacing w:line="400" w:lineRule="exact"/>
        <w:ind w:firstLine="480" w:firstLineChars="200"/>
        <w:rPr>
          <w:rFonts w:hint="eastAsia" w:ascii="仿宋" w:hAnsi="仿宋" w:eastAsia="仿宋" w:cs="仿宋"/>
          <w:bCs/>
          <w:color w:val="000000"/>
          <w:sz w:val="24"/>
          <w:szCs w:val="24"/>
          <w:highlight w:val="none"/>
          <w:u w:val="none"/>
          <w:lang w:val="en-US" w:eastAsia="zh-CN"/>
        </w:rPr>
      </w:pPr>
      <w:r>
        <w:rPr>
          <w:rFonts w:hint="eastAsia" w:ascii="仿宋" w:hAnsi="仿宋" w:eastAsia="仿宋" w:cs="仿宋"/>
          <w:bCs/>
          <w:color w:val="000000"/>
          <w:sz w:val="24"/>
          <w:szCs w:val="24"/>
          <w:highlight w:val="none"/>
        </w:rPr>
        <w:t>（</w:t>
      </w:r>
      <w:r>
        <w:rPr>
          <w:rFonts w:hint="eastAsia" w:ascii="仿宋" w:hAnsi="仿宋" w:eastAsia="仿宋" w:cs="仿宋"/>
          <w:bCs/>
          <w:color w:val="000000"/>
          <w:sz w:val="24"/>
          <w:szCs w:val="24"/>
          <w:highlight w:val="none"/>
          <w:lang w:val="en-US" w:eastAsia="zh-CN"/>
        </w:rPr>
        <w:t>21）因分包人原因同第三方发生纠纷而引发的包括但不限于诉讼、仲裁、调解等，而将承包人列为被告或第三人，经法院裁判（或仲裁机构裁决）承包人不承担民事责任的，承包人因参加诉讼（仲裁）而发生的费用包括但不限于交通费、住宿费、鉴定费、律师代理费（</w:t>
      </w:r>
      <w:r>
        <w:rPr>
          <w:rFonts w:hint="eastAsia" w:ascii="仿宋" w:hAnsi="仿宋" w:eastAsia="仿宋" w:cs="仿宋"/>
          <w:bCs/>
          <w:color w:val="000000"/>
          <w:kern w:val="0"/>
          <w:sz w:val="24"/>
          <w:szCs w:val="24"/>
          <w:highlight w:val="none"/>
          <w:u w:val="none"/>
        </w:rPr>
        <w:t>律师</w:t>
      </w:r>
      <w:r>
        <w:rPr>
          <w:rFonts w:hint="eastAsia" w:ascii="仿宋" w:hAnsi="仿宋" w:eastAsia="仿宋" w:cs="仿宋"/>
          <w:bCs/>
          <w:color w:val="000000"/>
          <w:kern w:val="0"/>
          <w:sz w:val="24"/>
          <w:szCs w:val="24"/>
          <w:highlight w:val="none"/>
          <w:u w:val="none"/>
          <w:lang w:val="en-US" w:eastAsia="zh-CN"/>
        </w:rPr>
        <w:t>代理</w:t>
      </w:r>
      <w:r>
        <w:rPr>
          <w:rFonts w:hint="eastAsia" w:ascii="仿宋" w:hAnsi="仿宋" w:eastAsia="仿宋" w:cs="仿宋"/>
          <w:bCs/>
          <w:color w:val="000000"/>
          <w:kern w:val="0"/>
          <w:sz w:val="24"/>
          <w:szCs w:val="24"/>
          <w:highlight w:val="none"/>
          <w:u w:val="none"/>
        </w:rPr>
        <w:t>费标准参照《天津律师收费标准行业指引（2016版）》规定执行</w:t>
      </w:r>
      <w:r>
        <w:rPr>
          <w:rFonts w:hint="eastAsia" w:ascii="仿宋" w:hAnsi="仿宋" w:eastAsia="仿宋" w:cs="仿宋"/>
          <w:bCs/>
          <w:color w:val="000000"/>
          <w:sz w:val="24"/>
          <w:szCs w:val="24"/>
          <w:highlight w:val="none"/>
          <w:lang w:val="en-US" w:eastAsia="zh-CN"/>
        </w:rPr>
        <w:t>）等由分包人承担。</w:t>
      </w:r>
    </w:p>
    <w:p w14:paraId="2A871510">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22）成果归属条款：分包人在履行本合同过程中，基于施工技术改进、工艺创新、工程设计优化等形成的所有知识产权（包括但不限于专利、商标、著作权、商业秘密、技术秘密等），自产生之日起完全、排他性地归承包人所有。分包人应在成果形成后 5 个工作日内，以书面形式向承包人完整披露相关技术方案、设计图纸、数据资料等，并协助办理知识产权登记、备案、权利转让等手续，所需费用由分包人承担。</w:t>
      </w:r>
    </w:p>
    <w:p w14:paraId="71B278FA">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23）使用限制条款：未经承包人书面许可，分包人不得以任何形式将上述知识产权用于本分包工程以外的项目，不得向第三方披露、许可使用或转让。分包人保留其在成果中的署名权，但该权利不得影响承包人对知识产权的独占性行使及商业化利用。</w:t>
      </w:r>
    </w:p>
    <w:p w14:paraId="2B82376A">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24）侵权责任条款：若分包人在施工过程中使用的技术、设备、材料等侵犯第三方知识产权，分包人应立即停止侵权行为，并承担全部法律责任（包括但不限于行政罚款、诉讼赔偿、和解费用）。如因此导致承包人被第三方索赔或遭受损失，分包人应全额赔偿，同时承包人有权从应付工程款中直接扣除相应款项，并要求分包人按合同总价款的 20% 支付违约金。</w:t>
      </w:r>
    </w:p>
    <w:p w14:paraId="2453BE5E">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（25）保密条款：</w:t>
      </w:r>
    </w:p>
    <w:p w14:paraId="292AD647">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保密信息范围：分包人应对在合同履行中知悉的承包人商业秘密（如报价策略、施工工艺、客户信息、承包人在施工过程中形成的未公开的进度计划、质量控制数据、风险评估报告等管理类信息、分包人基于本合同接收或产生的，与承包人业务相关的各类分析报告、会议记录、往来函件等）承担永久保密义务，违反保密义务的，应赔偿承包人因此遭受的全部损失。</w:t>
      </w:r>
    </w:p>
    <w:p w14:paraId="09E6EEC3">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保密义务期限：在合同终止或解除后 5 年内持续有效条款后补充：若因法律诉讼、仲裁等司法程序要求分包人披露保密信息，分包人应在披露前立即书面通知承包人，并配合承包人采取必要的保护措施，如申请保密审理或对涉密内容进行脱敏处理。____</w:t>
      </w:r>
    </w:p>
    <w:p w14:paraId="50A3BE74">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违约责任：若分包人因过失导致保密信息泄露，除承担赔偿责任外，承包人有权要求分包人在行业内发布声明消除影响；若分包人违反保密协议的行为构成犯罪，承包人保留向公安机关报案并追究其刑事责任的权利。</w:t>
      </w:r>
    </w:p>
    <w:p w14:paraId="44655C1F">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保密措施：</w:t>
      </w:r>
    </w:p>
    <w:p w14:paraId="45E14FEF">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①内部管理：分包人需建立保密信息台账，记录信息接收、使用、存储、销毁情况；对涉密设备（如电脑、U 盘）实施专人管理，并定期进行安全检查；​</w:t>
      </w:r>
    </w:p>
    <w:p w14:paraId="1013F2C0">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②第三方接触限制：分包人委托第三方提供服务（如数据存储、技术支持）涉及保密信息时，需事先获得承包人书面同意，并确保第三方签署同等保密协议；未经承包人许可，禁止第三方进入存放保密资料的场所；​</w:t>
      </w:r>
    </w:p>
    <w:p w14:paraId="4B2706F0">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③信息传递规范：通过电子方式传输保密信息时，必须使用承包人指定的加密渠道；纸质文件传递需进行编号登记，并由专人签收；​</w:t>
      </w:r>
    </w:p>
    <w:p w14:paraId="3CEBB4BE">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④保密培训要求：分包人需对所有接触保密信息的员工开展年度保密培训，留存培训记录并提交承包人备案；新入职涉密岗位人员须通过保密知识考核后方可接触相关信息；​</w:t>
      </w:r>
    </w:p>
    <w:p w14:paraId="3D58AD75">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hint="eastAsia" w:ascii="仿宋" w:hAnsi="仿宋" w:eastAsia="仿宋" w:cs="仿宋"/>
          <w:bCs/>
          <w:color w:val="000000"/>
          <w:highlight w:val="none"/>
        </w:rPr>
      </w:pPr>
      <w:r>
        <w:rPr>
          <w:rFonts w:hint="eastAsia" w:ascii="仿宋" w:hAnsi="仿宋" w:eastAsia="仿宋" w:cs="仿宋"/>
          <w:bCs/>
          <w:color w:val="000000"/>
          <w:highlight w:val="none"/>
        </w:rPr>
        <w:t>⑤信息销毁：合同终止或保密信息不再需要时，分包人需采用碎纸、数据擦除等不可逆方式销毁所有载体，并向承包人提交书面销毁证明。​</w:t>
      </w:r>
    </w:p>
    <w:p w14:paraId="34019596">
      <w:pPr>
        <w:pStyle w:val="34"/>
        <w:tabs>
          <w:tab w:val="left" w:pos="195"/>
          <w:tab w:val="left" w:pos="840"/>
          <w:tab w:val="left" w:pos="1050"/>
        </w:tabs>
        <w:adjustRightInd w:val="0"/>
        <w:snapToGrid w:val="0"/>
        <w:spacing w:before="0" w:beforeAutospacing="0" w:after="0" w:afterAutospacing="0" w:line="400" w:lineRule="exact"/>
        <w:ind w:firstLine="480" w:firstLineChars="200"/>
        <w:jc w:val="both"/>
        <w:rPr>
          <w:rFonts w:ascii="仿宋" w:hAnsi="仿宋" w:eastAsia="仿宋" w:cs="仿宋"/>
          <w:bCs/>
          <w:color w:val="000000"/>
          <w:highlight w:val="none"/>
        </w:rPr>
      </w:pPr>
      <w:r>
        <w:rPr>
          <w:rFonts w:hint="eastAsia" w:ascii="仿宋" w:hAnsi="仿宋" w:eastAsia="仿宋" w:cs="仿宋"/>
          <w:bCs/>
          <w:color w:val="000000"/>
          <w:highlight w:val="none"/>
        </w:rPr>
        <w:t>____________________________________________________________________</w:t>
      </w:r>
      <w:r>
        <w:rPr>
          <w:rFonts w:hint="eastAsia" w:ascii="仿宋" w:hAnsi="仿宋" w:eastAsia="仿宋" w:cs="仿宋"/>
          <w:color w:val="000000"/>
          <w:highlight w:val="none"/>
        </w:rPr>
        <w:t>_______________________________________________________________________________________________________________________________________________________</w:t>
      </w:r>
    </w:p>
    <w:p w14:paraId="12390AF9">
      <w:pPr>
        <w:spacing w:line="400" w:lineRule="exact"/>
        <w:ind w:firstLine="480" w:firstLineChars="200"/>
        <w:rPr>
          <w:rFonts w:hint="eastAsia" w:ascii="仿宋" w:hAnsi="仿宋" w:eastAsia="仿宋" w:cs="仿宋"/>
          <w:b w:val="0"/>
          <w:color w:val="000000"/>
          <w:sz w:val="24"/>
          <w:highlight w:val="none"/>
          <w:lang w:eastAsia="zh"/>
        </w:rPr>
      </w:pPr>
      <w:r>
        <w:rPr>
          <w:rFonts w:hint="eastAsia" w:ascii="仿宋" w:hAnsi="仿宋" w:eastAsia="仿宋" w:cs="仿宋"/>
          <w:b w:val="0"/>
          <w:color w:val="000000"/>
          <w:sz w:val="24"/>
          <w:highlight w:val="none"/>
          <w:lang w:eastAsia="zh"/>
        </w:rPr>
        <w:t>十</w:t>
      </w:r>
      <w:r>
        <w:rPr>
          <w:rFonts w:hint="eastAsia" w:ascii="仿宋" w:hAnsi="仿宋" w:eastAsia="仿宋" w:cs="仿宋"/>
          <w:b w:val="0"/>
          <w:color w:val="000000"/>
          <w:sz w:val="24"/>
          <w:highlight w:val="none"/>
          <w:lang w:val="en-US" w:eastAsia="zh-CN"/>
        </w:rPr>
        <w:t>二</w:t>
      </w:r>
      <w:r>
        <w:rPr>
          <w:rFonts w:hint="eastAsia" w:ascii="仿宋" w:hAnsi="仿宋" w:eastAsia="仿宋" w:cs="仿宋"/>
          <w:b w:val="0"/>
          <w:color w:val="000000"/>
          <w:sz w:val="24"/>
          <w:highlight w:val="none"/>
          <w:lang w:eastAsia="zh"/>
        </w:rPr>
        <w:t>、附件</w:t>
      </w:r>
    </w:p>
    <w:p w14:paraId="43B28C37">
      <w:pPr>
        <w:spacing w:line="400" w:lineRule="exact"/>
        <w:ind w:firstLine="480" w:firstLineChars="200"/>
        <w:rPr>
          <w:rFonts w:hint="eastAsia" w:ascii="仿宋" w:hAnsi="仿宋" w:eastAsia="仿宋" w:cs="仿宋"/>
          <w:b w:val="0"/>
          <w:color w:val="000000"/>
          <w:sz w:val="24"/>
          <w:highlight w:val="none"/>
          <w:lang w:eastAsia="zh"/>
        </w:rPr>
      </w:pPr>
      <w:r>
        <w:rPr>
          <w:rFonts w:hint="eastAsia" w:ascii="仿宋" w:hAnsi="仿宋" w:eastAsia="仿宋" w:cs="仿宋"/>
          <w:b w:val="0"/>
          <w:color w:val="000000"/>
          <w:sz w:val="24"/>
          <w:highlight w:val="none"/>
          <w:lang w:eastAsia="zh"/>
        </w:rPr>
        <w:t>1. 《安全生产责任协议书》</w:t>
      </w:r>
    </w:p>
    <w:p w14:paraId="5D0F4346">
      <w:pPr>
        <w:spacing w:line="400" w:lineRule="exact"/>
        <w:ind w:firstLine="480" w:firstLineChars="200"/>
        <w:rPr>
          <w:rFonts w:hint="eastAsia" w:ascii="仿宋" w:hAnsi="仿宋" w:eastAsia="仿宋" w:cs="仿宋"/>
          <w:b w:val="0"/>
          <w:color w:val="000000"/>
          <w:sz w:val="24"/>
          <w:highlight w:val="none"/>
          <w:lang w:eastAsia="zh"/>
        </w:rPr>
      </w:pPr>
      <w:r>
        <w:rPr>
          <w:rFonts w:hint="eastAsia" w:ascii="仿宋" w:hAnsi="仿宋" w:eastAsia="仿宋" w:cs="仿宋"/>
          <w:b w:val="0"/>
          <w:color w:val="000000"/>
          <w:sz w:val="24"/>
          <w:highlight w:val="none"/>
          <w:lang w:eastAsia="zh"/>
        </w:rPr>
        <w:t>2. 《廉政协议书》</w:t>
      </w:r>
    </w:p>
    <w:p w14:paraId="2C761628">
      <w:pPr>
        <w:spacing w:line="400" w:lineRule="exact"/>
        <w:ind w:left="0" w:leftChars="0" w:firstLine="480" w:firstLineChars="200"/>
        <w:rPr>
          <w:rFonts w:hint="eastAsia" w:ascii="仿宋" w:hAnsi="仿宋" w:eastAsia="仿宋" w:cs="仿宋"/>
          <w:b w:val="0"/>
          <w:color w:val="000000"/>
          <w:sz w:val="24"/>
          <w:szCs w:val="24"/>
          <w:highlight w:val="none"/>
          <w:lang w:val="en-US" w:eastAsia="zh-CN"/>
        </w:rPr>
      </w:pPr>
      <w:r>
        <w:rPr>
          <w:rFonts w:hint="eastAsia" w:ascii="仿宋" w:hAnsi="仿宋" w:eastAsia="仿宋" w:cs="仿宋"/>
          <w:b w:val="0"/>
          <w:color w:val="000000"/>
          <w:sz w:val="24"/>
          <w:highlight w:val="none"/>
          <w:lang w:eastAsia="zh"/>
        </w:rPr>
        <w:t>3. 《不拖欠农民工工资承诺书》</w:t>
      </w:r>
      <w:r>
        <w:rPr>
          <w:rFonts w:hint="eastAsia" w:ascii="仿宋" w:hAnsi="仿宋" w:eastAsia="仿宋" w:cs="仿宋"/>
          <w:b w:val="0"/>
          <w:color w:val="000000"/>
          <w:sz w:val="24"/>
          <w:highlight w:val="none"/>
          <w:lang w:val="en-US" w:eastAsia="zh-CN"/>
        </w:rPr>
        <w:t>及农民工工资专用账户信息</w:t>
      </w:r>
    </w:p>
    <w:p w14:paraId="16223B73">
      <w:pPr>
        <w:spacing w:line="400" w:lineRule="exact"/>
        <w:ind w:left="0" w:leftChars="0" w:firstLine="480" w:firstLineChars="200"/>
        <w:rPr>
          <w:rFonts w:hint="eastAsia" w:ascii="仿宋" w:hAnsi="仿宋" w:eastAsia="仿宋" w:cs="仿宋"/>
          <w:b w:val="0"/>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分包人的营业执照、资质证书、安全施工许可证、法定代表人及委托人身份证复印件及法定代表人委托书原件等</w:t>
      </w:r>
      <w:r>
        <w:rPr>
          <w:rFonts w:hint="eastAsia" w:ascii="仿宋" w:hAnsi="仿宋" w:eastAsia="仿宋" w:cs="仿宋"/>
          <w:color w:val="000000"/>
          <w:sz w:val="24"/>
          <w:szCs w:val="24"/>
          <w:highlight w:val="none"/>
          <w:lang w:val="en-US" w:eastAsia="zh-CN"/>
        </w:rPr>
        <w:t>;</w:t>
      </w:r>
    </w:p>
    <w:p w14:paraId="5BA27DBF">
      <w:pPr>
        <w:spacing w:line="40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5.</w:t>
      </w:r>
      <w:r>
        <w:rPr>
          <w:rFonts w:hint="eastAsia" w:ascii="仿宋" w:hAnsi="仿宋" w:eastAsia="仿宋" w:cs="仿宋"/>
          <w:color w:val="000000"/>
          <w:sz w:val="24"/>
          <w:szCs w:val="24"/>
          <w:highlight w:val="none"/>
        </w:rPr>
        <w:t>《xx项目xx工程工程量清单报价表》、《</w:t>
      </w:r>
      <w:r>
        <w:rPr>
          <w:rFonts w:hint="eastAsia" w:ascii="仿宋" w:hAnsi="仿宋" w:eastAsia="仿宋" w:cs="仿宋"/>
          <w:color w:val="000000"/>
          <w:sz w:val="24"/>
          <w:szCs w:val="24"/>
          <w:highlight w:val="none"/>
          <w:lang w:eastAsia="zh-CN"/>
        </w:rPr>
        <w:t>分包</w:t>
      </w:r>
      <w:r>
        <w:rPr>
          <w:rFonts w:hint="eastAsia" w:ascii="仿宋" w:hAnsi="仿宋" w:eastAsia="仿宋" w:cs="仿宋"/>
          <w:color w:val="000000"/>
          <w:sz w:val="24"/>
          <w:szCs w:val="24"/>
          <w:highlight w:val="none"/>
        </w:rPr>
        <w:t>工程款支付申请表》</w:t>
      </w:r>
    </w:p>
    <w:p w14:paraId="04A87487">
      <w:pPr>
        <w:spacing w:line="400" w:lineRule="exact"/>
        <w:ind w:firstLine="480" w:firstLineChars="200"/>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6.其它（包括但不限于《劳动合同》、社保缴纳记录等）</w:t>
      </w:r>
    </w:p>
    <w:p w14:paraId="1D34E7C6">
      <w:pPr>
        <w:spacing w:line="40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十</w:t>
      </w:r>
      <w:r>
        <w:rPr>
          <w:rFonts w:hint="eastAsia" w:ascii="仿宋" w:hAnsi="仿宋" w:eastAsia="仿宋" w:cs="仿宋"/>
          <w:b/>
          <w:color w:val="000000"/>
          <w:sz w:val="24"/>
          <w:highlight w:val="none"/>
          <w:lang w:val="en-US" w:eastAsia="zh-CN"/>
        </w:rPr>
        <w:t>三</w:t>
      </w:r>
      <w:r>
        <w:rPr>
          <w:rFonts w:hint="eastAsia" w:ascii="仿宋" w:hAnsi="仿宋" w:eastAsia="仿宋" w:cs="仿宋"/>
          <w:b/>
          <w:color w:val="000000"/>
          <w:sz w:val="24"/>
          <w:highlight w:val="none"/>
        </w:rPr>
        <w:t>、合同生效</w:t>
      </w:r>
    </w:p>
    <w:p w14:paraId="3EF54FEC">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合同订立时间：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7E3DCA2F">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合同订立地点：</w:t>
      </w:r>
      <w:r>
        <w:rPr>
          <w:rFonts w:hint="eastAsia" w:ascii="仿宋" w:hAnsi="仿宋" w:eastAsia="仿宋" w:cs="仿宋"/>
          <w:color w:val="000000"/>
          <w:sz w:val="24"/>
          <w:highlight w:val="none"/>
          <w:u w:val="single"/>
        </w:rPr>
        <w:t xml:space="preserve">     天津市和平区               </w:t>
      </w:r>
    </w:p>
    <w:p w14:paraId="4EA56FBC">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本合同双方约定：</w:t>
      </w:r>
      <w:r>
        <w:rPr>
          <w:rFonts w:hint="eastAsia" w:ascii="仿宋" w:hAnsi="仿宋" w:eastAsia="仿宋" w:cs="仿宋"/>
          <w:color w:val="000000"/>
          <w:sz w:val="24"/>
          <w:highlight w:val="none"/>
          <w:u w:val="single"/>
        </w:rPr>
        <w:t xml:space="preserve">  双方盖章             </w:t>
      </w:r>
      <w:r>
        <w:rPr>
          <w:rFonts w:hint="eastAsia" w:ascii="仿宋" w:hAnsi="仿宋" w:eastAsia="仿宋" w:cs="仿宋"/>
          <w:color w:val="000000"/>
          <w:sz w:val="24"/>
          <w:highlight w:val="none"/>
        </w:rPr>
        <w:t>后生效。</w:t>
      </w:r>
    </w:p>
    <w:p w14:paraId="778D5F2A">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承  包  人：                         分  包  人：</w:t>
      </w:r>
    </w:p>
    <w:p w14:paraId="1EFBD9B8">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 xml:space="preserve">住      所：                            住    所： </w:t>
      </w:r>
    </w:p>
    <w:p w14:paraId="589500FB">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法定代表人：                            法定代表人：</w:t>
      </w:r>
    </w:p>
    <w:p w14:paraId="12454A86">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委托代理人：                            委托代理人：</w:t>
      </w:r>
    </w:p>
    <w:p w14:paraId="65741CC1">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电    话：                              电    话：</w:t>
      </w:r>
    </w:p>
    <w:p w14:paraId="763B7E4A">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传    真：                              传    真：</w:t>
      </w:r>
    </w:p>
    <w:p w14:paraId="34ACEAC1">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电子信箱：                              电子信箱：</w:t>
      </w:r>
    </w:p>
    <w:p w14:paraId="4E248CCC">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开户银行：                              开户银行：</w:t>
      </w:r>
    </w:p>
    <w:p w14:paraId="57D0CAB3">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账    号：                              账    号：</w:t>
      </w:r>
    </w:p>
    <w:p w14:paraId="3EDE6C72">
      <w:pPr>
        <w:spacing w:line="40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邮政编码：                              邮政编码：</w:t>
      </w:r>
    </w:p>
    <w:p w14:paraId="17B5B828">
      <w:pPr>
        <w:spacing w:line="400" w:lineRule="exact"/>
      </w:pPr>
    </w:p>
    <w:p w14:paraId="362282EB">
      <w:pPr>
        <w:rPr>
          <w:rFonts w:hint="eastAsia" w:ascii="宋体" w:hAnsi="宋体" w:cs="宋体"/>
          <w:sz w:val="40"/>
          <w:szCs w:val="40"/>
        </w:rPr>
        <w:sectPr>
          <w:headerReference r:id="rId12" w:type="default"/>
          <w:footerReference r:id="rId13" w:type="default"/>
          <w:pgSz w:w="11906" w:h="16838"/>
          <w:pgMar w:top="1440" w:right="1800" w:bottom="1440" w:left="1800" w:header="851" w:footer="992" w:gutter="0"/>
          <w:pgNumType w:start="1"/>
          <w:cols w:space="720" w:num="1"/>
          <w:docGrid w:type="lines" w:linePitch="312" w:charSpace="0"/>
        </w:sectPr>
      </w:pPr>
    </w:p>
    <w:p w14:paraId="3DC13268">
      <w:pPr>
        <w:pStyle w:val="2"/>
        <w:numPr>
          <w:ilvl w:val="0"/>
          <w:numId w:val="2"/>
        </w:numPr>
        <w:rPr>
          <w:rFonts w:hint="eastAsia" w:ascii="宋体" w:hAnsi="宋体" w:cs="宋体"/>
        </w:rPr>
      </w:pPr>
      <w:r>
        <w:rPr>
          <w:rFonts w:hint="eastAsia" w:ascii="宋体" w:hAnsi="宋体" w:cs="宋体"/>
        </w:rPr>
        <w:t xml:space="preserve"> </w:t>
      </w:r>
      <w:bookmarkStart w:id="200" w:name="_Toc15950"/>
      <w:r>
        <w:rPr>
          <w:rFonts w:hint="eastAsia" w:ascii="宋体" w:hAnsi="宋体" w:cs="宋体"/>
        </w:rPr>
        <w:t>项目需求书</w:t>
      </w:r>
      <w:bookmarkEnd w:id="200"/>
    </w:p>
    <w:p w14:paraId="73E8378E">
      <w:pPr>
        <w:pStyle w:val="72"/>
        <w:spacing w:line="360" w:lineRule="auto"/>
        <w:ind w:firstLine="480"/>
        <w:rPr>
          <w:rFonts w:hint="eastAsia" w:ascii="宋体" w:hAnsi="宋体" w:cs="宋体"/>
          <w:sz w:val="24"/>
          <w:szCs w:val="24"/>
          <w:highlight w:val="none"/>
        </w:rPr>
      </w:pPr>
      <w:r>
        <w:rPr>
          <w:rFonts w:hint="eastAsia" w:ascii="宋体" w:hAnsi="宋体" w:cs="宋体"/>
          <w:sz w:val="24"/>
          <w:szCs w:val="24"/>
        </w:rPr>
        <w:t>引滦原水预处理厂工程施工（第2标段）-钢结构屋面采购及安装专业分包</w:t>
      </w:r>
      <w:r>
        <w:rPr>
          <w:rFonts w:hint="eastAsia" w:ascii="宋体" w:hAnsi="宋体" w:cs="宋体"/>
          <w:sz w:val="24"/>
          <w:szCs w:val="24"/>
          <w:highlight w:val="none"/>
        </w:rPr>
        <w:t>需求。</w:t>
      </w:r>
    </w:p>
    <w:p w14:paraId="5EF92403">
      <w:pPr>
        <w:rPr>
          <w:rFonts w:hint="eastAsia"/>
        </w:rPr>
      </w:pPr>
    </w:p>
    <w:p w14:paraId="336BC65D">
      <w:pPr>
        <w:pStyle w:val="7"/>
        <w:adjustRightInd w:val="0"/>
        <w:snapToGrid w:val="0"/>
        <w:jc w:val="center"/>
        <w:rPr>
          <w:rFonts w:hint="eastAsia" w:ascii="宋体" w:hAnsi="宋体" w:cs="宋体"/>
          <w:szCs w:val="21"/>
          <w:highlight w:val="none"/>
        </w:rPr>
      </w:pPr>
      <w:r>
        <w:rPr>
          <w:rFonts w:hint="eastAsia" w:ascii="宋体" w:hAnsi="宋体" w:cs="宋体"/>
          <w:szCs w:val="21"/>
          <w:highlight w:val="none"/>
        </w:rPr>
        <w:t>清单一览表</w:t>
      </w:r>
    </w:p>
    <w:p w14:paraId="40BF7404">
      <w:pPr>
        <w:rPr>
          <w:rFonts w:hint="eastAsia"/>
        </w:rPr>
      </w:pPr>
    </w:p>
    <w:tbl>
      <w:tblPr>
        <w:tblStyle w:val="40"/>
        <w:tblW w:w="13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6"/>
        <w:gridCol w:w="2802"/>
        <w:gridCol w:w="4534"/>
        <w:gridCol w:w="1230"/>
        <w:gridCol w:w="1043"/>
        <w:gridCol w:w="3505"/>
      </w:tblGrid>
      <w:tr w14:paraId="3D260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13960" w:type="dxa"/>
            <w:gridSpan w:val="6"/>
            <w:tcBorders>
              <w:top w:val="nil"/>
              <w:left w:val="nil"/>
              <w:bottom w:val="nil"/>
              <w:right w:val="nil"/>
            </w:tcBorders>
            <w:shd w:val="clear" w:color="auto" w:fill="auto"/>
            <w:noWrap/>
            <w:vAlign w:val="center"/>
          </w:tcPr>
          <w:p w14:paraId="1D74585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钢结构屋面清单</w:t>
            </w:r>
          </w:p>
        </w:tc>
      </w:tr>
      <w:tr w14:paraId="47B38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18B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7C9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名称</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E11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型号</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43D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069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D16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14:paraId="0DC9C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B8E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0CB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臭氧发生间防爆钢屋顶</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A0F7">
            <w:pPr>
              <w:jc w:val="center"/>
              <w:rPr>
                <w:rFonts w:hint="eastAsia" w:ascii="Arial" w:hAnsi="Arial" w:eastAsia="宋体" w:cs="Arial"/>
                <w:b/>
                <w:bCs/>
                <w:i w:val="0"/>
                <w:iCs w:val="0"/>
                <w:color w:val="000000"/>
                <w:sz w:val="20"/>
                <w:szCs w:val="20"/>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40F3">
            <w:pPr>
              <w:jc w:val="center"/>
              <w:rPr>
                <w:rFonts w:hint="default" w:ascii="Arial" w:hAnsi="Arial" w:eastAsia="宋体" w:cs="Arial"/>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15C3">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FC5D">
            <w:pPr>
              <w:jc w:val="center"/>
              <w:rPr>
                <w:rFonts w:hint="default" w:ascii="Arial" w:hAnsi="Arial" w:eastAsia="宋体" w:cs="Arial"/>
                <w:b/>
                <w:bCs/>
                <w:i w:val="0"/>
                <w:iCs w:val="0"/>
                <w:color w:val="000000"/>
                <w:sz w:val="20"/>
                <w:szCs w:val="20"/>
                <w:u w:val="none"/>
              </w:rPr>
            </w:pPr>
          </w:p>
        </w:tc>
      </w:tr>
      <w:tr w14:paraId="42622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8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5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压型钢板屋面（防爆）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7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D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00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6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做法见图纸</w:t>
            </w:r>
          </w:p>
        </w:tc>
      </w:tr>
      <w:tr w14:paraId="3CD56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2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86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屋面檩条</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6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（C180*70*20*2.5）*3390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（C180*70*20*2.5）*3090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DD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80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9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含油漆工程防火涂料</w:t>
            </w:r>
          </w:p>
        </w:tc>
      </w:tr>
      <w:tr w14:paraId="75555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12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2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钢柱</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0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6*180*200、8*200*200、8*75*180⊿、8*180*180⊿、100*4□*350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2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8E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9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含油漆工程防火涂料</w:t>
            </w:r>
          </w:p>
        </w:tc>
      </w:tr>
      <w:tr w14:paraId="56BBA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8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0C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污泥浓缩处理设施钢屋顶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16B0">
            <w:pPr>
              <w:rPr>
                <w:rFonts w:hint="eastAsia" w:ascii="宋体" w:hAnsi="宋体" w:eastAsia="宋体" w:cs="宋体"/>
                <w:i w:val="0"/>
                <w:iCs w:val="0"/>
                <w:color w:val="000000"/>
                <w:sz w:val="22"/>
                <w:szCs w:val="22"/>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9C0D">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9FA482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54383A6">
            <w:pPr>
              <w:jc w:val="left"/>
              <w:rPr>
                <w:rFonts w:hint="eastAsia" w:ascii="宋体" w:hAnsi="宋体" w:eastAsia="宋体" w:cs="宋体"/>
                <w:i w:val="0"/>
                <w:iCs w:val="0"/>
                <w:color w:val="000000"/>
                <w:sz w:val="20"/>
                <w:szCs w:val="20"/>
                <w:u w:val="none"/>
              </w:rPr>
            </w:pPr>
          </w:p>
        </w:tc>
      </w:tr>
      <w:tr w14:paraId="1882E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5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5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钢屋架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3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GJ1,详见图纸浓结-09，共8根</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2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31.885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B3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2821F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Q235B\含除锈、防火涂料</w:t>
            </w:r>
          </w:p>
        </w:tc>
      </w:tr>
      <w:tr w14:paraId="53C47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EE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5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钢支撑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14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撑杆φ32×2.5\YC\GC（XG）\BC（SC1）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7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F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D0B60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Q235B\含除锈、防火涂料</w:t>
            </w:r>
          </w:p>
        </w:tc>
      </w:tr>
      <w:tr w14:paraId="58F5D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3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7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钢拉条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3D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D12</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6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0.676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AE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82A25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Q235B\含除锈、防火涂料</w:t>
            </w:r>
          </w:p>
        </w:tc>
      </w:tr>
      <w:tr w14:paraId="287E8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D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93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钢檩条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9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C250X75X20X2.5</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F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D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6A896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Q235B\含防除锈、火涂料</w:t>
            </w:r>
          </w:p>
        </w:tc>
      </w:tr>
      <w:tr w14:paraId="5B0E2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81C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6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1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详见图纸、图集15J401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42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13.454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1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3402C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Q235B\含防火涂料</w:t>
            </w:r>
          </w:p>
        </w:tc>
      </w:tr>
      <w:tr w14:paraId="115B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3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2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压型钢板屋面</w:t>
            </w:r>
          </w:p>
        </w:tc>
        <w:tc>
          <w:tcPr>
            <w:tcW w:w="4287" w:type="dxa"/>
            <w:tcBorders>
              <w:top w:val="single" w:color="000000" w:sz="4" w:space="0"/>
              <w:left w:val="single" w:color="000000" w:sz="4" w:space="0"/>
              <w:bottom w:val="nil"/>
              <w:right w:val="single" w:color="000000" w:sz="4" w:space="0"/>
            </w:tcBorders>
            <w:shd w:val="clear" w:color="auto" w:fill="auto"/>
            <w:vAlign w:val="center"/>
          </w:tcPr>
          <w:p w14:paraId="17FE35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详见图纸、图集17J925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8D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1485.55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DF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m2</w:t>
            </w:r>
          </w:p>
        </w:tc>
        <w:tc>
          <w:tcPr>
            <w:tcW w:w="3714" w:type="dxa"/>
            <w:tcBorders>
              <w:top w:val="single" w:color="000000" w:sz="4" w:space="0"/>
              <w:left w:val="single" w:color="000000" w:sz="4" w:space="0"/>
              <w:bottom w:val="nil"/>
              <w:right w:val="single" w:color="000000" w:sz="4" w:space="0"/>
            </w:tcBorders>
            <w:shd w:val="clear" w:color="auto" w:fill="auto"/>
            <w:vAlign w:val="center"/>
          </w:tcPr>
          <w:p w14:paraId="7E4B2C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压型钢板屋面做法（参见图集：17J925 屋4/1-10面板采用360度咬合连接）：采用基板厚度≥0.61厚压型钢板外板（镀铝锌镁含量不小于165g/平方米的外板（蓝色）+100厚玻璃棉板（玻璃棉容32Kg/m，导热系数要求不大于0.042W/m.K），表面复合加筋铝箔防潮层，玻璃棉要求环保，无甲醛，无丙烯酸，憎水率大于等于98%+基板厚度0.5厚乳白色压型钢板内板（双面镀铝锌，每面镀铝锌量≥75g/平方米，涂层采用聚酯涂层），整体燃烧性能要求达到A级不燃体。</w:t>
            </w:r>
          </w:p>
        </w:tc>
      </w:tr>
      <w:tr w14:paraId="545ED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D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D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网架彩钢板顶棚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D6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防水二级</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9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1485.55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44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m2</w:t>
            </w:r>
          </w:p>
        </w:tc>
        <w:tc>
          <w:tcPr>
            <w:tcW w:w="3714" w:type="dxa"/>
            <w:tcBorders>
              <w:top w:val="single" w:color="000000" w:sz="4" w:space="0"/>
              <w:left w:val="single" w:color="000000" w:sz="4" w:space="0"/>
              <w:bottom w:val="nil"/>
              <w:right w:val="single" w:color="000000" w:sz="4" w:space="0"/>
            </w:tcBorders>
            <w:shd w:val="clear" w:color="auto" w:fill="auto"/>
            <w:vAlign w:val="center"/>
          </w:tcPr>
          <w:p w14:paraId="5E9BC4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防水垫层选用：D2，防水垫层上部增加防水层：F2-1，1.8厚。屋面防水：防水等级二级。防水层层数：2道。防水层做法：1道防水透气膜（Ⅱ型）、1道热塑性聚烯烃（TPO）防水卷材。</w:t>
            </w:r>
          </w:p>
        </w:tc>
      </w:tr>
      <w:tr w14:paraId="4250B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C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2B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污泥脱水处理设施钢屋顶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A4D0">
            <w:pPr>
              <w:rPr>
                <w:rFonts w:hint="eastAsia" w:ascii="宋体" w:hAnsi="宋体" w:eastAsia="宋体" w:cs="宋体"/>
                <w:i w:val="0"/>
                <w:iCs w:val="0"/>
                <w:color w:val="000000"/>
                <w:sz w:val="22"/>
                <w:szCs w:val="22"/>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D3AA">
            <w:pPr>
              <w:jc w:val="center"/>
              <w:rPr>
                <w:rFonts w:hint="eastAsia" w:ascii="宋体" w:hAnsi="宋体" w:eastAsia="宋体" w:cs="宋体"/>
                <w:i w:val="0"/>
                <w:iCs w:val="0"/>
                <w:color w:val="000000"/>
                <w:sz w:val="22"/>
                <w:szCs w:val="22"/>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EE4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541F1A4">
            <w:pPr>
              <w:jc w:val="left"/>
              <w:rPr>
                <w:rFonts w:hint="eastAsia" w:ascii="宋体" w:hAnsi="宋体" w:eastAsia="宋体" w:cs="宋体"/>
                <w:i w:val="0"/>
                <w:iCs w:val="0"/>
                <w:color w:val="000000"/>
                <w:sz w:val="20"/>
                <w:szCs w:val="20"/>
                <w:u w:val="none"/>
              </w:rPr>
            </w:pPr>
          </w:p>
        </w:tc>
      </w:tr>
      <w:tr w14:paraId="68F0B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7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7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钢屋架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E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GJ-1,详见泥结-09，13个</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2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38.281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8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0E557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Q235B\含除锈、防火涂料</w:t>
            </w:r>
          </w:p>
        </w:tc>
      </w:tr>
      <w:tr w14:paraId="00F2F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58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39" w:type="dxa"/>
            <w:tcBorders>
              <w:top w:val="single" w:color="000000" w:sz="4" w:space="0"/>
              <w:left w:val="single" w:color="000000" w:sz="4" w:space="0"/>
              <w:bottom w:val="nil"/>
              <w:right w:val="single" w:color="000000" w:sz="4" w:space="0"/>
            </w:tcBorders>
            <w:shd w:val="clear" w:color="auto" w:fill="auto"/>
            <w:vAlign w:val="center"/>
          </w:tcPr>
          <w:p w14:paraId="6A8B8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钢吊车梁</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E27E2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GDML7-2</w:t>
            </w:r>
          </w:p>
        </w:tc>
        <w:tc>
          <w:tcPr>
            <w:tcW w:w="1280" w:type="dxa"/>
            <w:tcBorders>
              <w:top w:val="single" w:color="000000" w:sz="4" w:space="0"/>
              <w:left w:val="single" w:color="000000" w:sz="4" w:space="0"/>
              <w:bottom w:val="nil"/>
              <w:right w:val="single" w:color="000000" w:sz="4" w:space="0"/>
            </w:tcBorders>
            <w:shd w:val="clear" w:color="auto" w:fill="auto"/>
            <w:vAlign w:val="center"/>
          </w:tcPr>
          <w:p w14:paraId="30C89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8.456</w:t>
            </w:r>
          </w:p>
        </w:tc>
        <w:tc>
          <w:tcPr>
            <w:tcW w:w="1143" w:type="dxa"/>
            <w:tcBorders>
              <w:top w:val="single" w:color="000000" w:sz="4" w:space="0"/>
              <w:left w:val="single" w:color="000000" w:sz="4" w:space="0"/>
              <w:bottom w:val="nil"/>
              <w:right w:val="single" w:color="000000" w:sz="4" w:space="0"/>
            </w:tcBorders>
            <w:shd w:val="clear" w:color="auto" w:fill="auto"/>
            <w:vAlign w:val="center"/>
          </w:tcPr>
          <w:p w14:paraId="02D74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E5E94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Q235B\含除锈、防火涂料</w:t>
            </w:r>
          </w:p>
        </w:tc>
      </w:tr>
      <w:tr w14:paraId="00B2C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2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F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钢支撑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AA6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XC/SC/YC/撑杆φ32×2.5</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E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8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F5C8E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Q235B\含除锈、防火涂料</w:t>
            </w:r>
          </w:p>
        </w:tc>
      </w:tr>
      <w:tr w14:paraId="425EE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0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FC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钢拉条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5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D12</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7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0.994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9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C1EDF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Q235B\含除锈、防火涂料</w:t>
            </w:r>
          </w:p>
        </w:tc>
      </w:tr>
      <w:tr w14:paraId="3D722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5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78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钢檩条</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4C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C250X75X20X2.5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C120X50X15X2.5</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6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18.856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3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F88C0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Q235B\含防除锈、火涂料</w:t>
            </w:r>
          </w:p>
        </w:tc>
      </w:tr>
      <w:tr w14:paraId="0100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2D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B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E9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详见图纸、图集15J401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8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60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0F051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Q235B\含防火涂料</w:t>
            </w:r>
          </w:p>
        </w:tc>
      </w:tr>
      <w:tr w14:paraId="3727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0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4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压型钢板屋面</w:t>
            </w:r>
          </w:p>
        </w:tc>
        <w:tc>
          <w:tcPr>
            <w:tcW w:w="4287" w:type="dxa"/>
            <w:tcBorders>
              <w:top w:val="single" w:color="000000" w:sz="4" w:space="0"/>
              <w:left w:val="single" w:color="000000" w:sz="4" w:space="0"/>
              <w:bottom w:val="nil"/>
              <w:right w:val="single" w:color="000000" w:sz="4" w:space="0"/>
            </w:tcBorders>
            <w:shd w:val="clear" w:color="auto" w:fill="auto"/>
            <w:vAlign w:val="center"/>
          </w:tcPr>
          <w:p w14:paraId="5EEF5A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详见图纸、图集17J925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C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2437.56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2D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m2</w:t>
            </w:r>
          </w:p>
        </w:tc>
        <w:tc>
          <w:tcPr>
            <w:tcW w:w="3714" w:type="dxa"/>
            <w:tcBorders>
              <w:top w:val="single" w:color="000000" w:sz="4" w:space="0"/>
              <w:left w:val="single" w:color="000000" w:sz="4" w:space="0"/>
              <w:bottom w:val="nil"/>
              <w:right w:val="single" w:color="000000" w:sz="4" w:space="0"/>
            </w:tcBorders>
            <w:shd w:val="clear" w:color="auto" w:fill="auto"/>
            <w:vAlign w:val="center"/>
          </w:tcPr>
          <w:p w14:paraId="3FDECD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压型钢板屋面做法（参见图集：17J925 屋4/1-10面板采用360度咬合连接）：采用基板厚度≥0.61厚压型钢板外板（镀铝锌镁含量不小于165g/平方米的外板（蓝色）+100厚玻璃棉板（玻璃棉容32Kg/m，导热系数要求不大于0.042W/m.K），表面复合加筋铝箔防潮层，玻璃棉要求环保，无甲醛，无丙烯酸，憎水率大于等于98%+基板厚度0.5厚乳白色压型钢板内板（双面镀铝锌，每面镀铝锌量≥75g/平方米，涂层采用聚酯涂层），整体燃烧性能要求达到A级不燃体。</w:t>
            </w:r>
          </w:p>
        </w:tc>
      </w:tr>
      <w:tr w14:paraId="40FF7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2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C8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网架彩钢板顶棚</w:t>
            </w:r>
          </w:p>
        </w:tc>
        <w:tc>
          <w:tcPr>
            <w:tcW w:w="4287" w:type="dxa"/>
            <w:tcBorders>
              <w:top w:val="single" w:color="000000" w:sz="4" w:space="0"/>
              <w:left w:val="single" w:color="000000" w:sz="4" w:space="0"/>
              <w:bottom w:val="nil"/>
              <w:right w:val="single" w:color="000000" w:sz="4" w:space="0"/>
            </w:tcBorders>
            <w:shd w:val="clear" w:color="auto" w:fill="auto"/>
            <w:vAlign w:val="center"/>
          </w:tcPr>
          <w:p w14:paraId="2FDC38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防水二级</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6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2437.56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B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m2</w:t>
            </w:r>
          </w:p>
        </w:tc>
        <w:tc>
          <w:tcPr>
            <w:tcW w:w="3714" w:type="dxa"/>
            <w:tcBorders>
              <w:top w:val="single" w:color="000000" w:sz="4" w:space="0"/>
              <w:left w:val="single" w:color="000000" w:sz="4" w:space="0"/>
              <w:bottom w:val="nil"/>
              <w:right w:val="single" w:color="000000" w:sz="4" w:space="0"/>
            </w:tcBorders>
            <w:shd w:val="clear" w:color="auto" w:fill="auto"/>
            <w:vAlign w:val="center"/>
          </w:tcPr>
          <w:p w14:paraId="652BCF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防水垫层选用：D2，防水垫层上部增加防水层：F2-1，1.8厚。屋面防水：防水等级二级。防水层层数：2道。防水层做法：1道防水透气膜（Ⅱ型）、1道热塑性聚烯烃（TPO）防水卷材。</w:t>
            </w:r>
          </w:p>
        </w:tc>
      </w:tr>
      <w:tr w14:paraId="0924D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63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3CC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粉碳投加间防爆屋顶</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83D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84AD">
            <w:pPr>
              <w:jc w:val="center"/>
              <w:rPr>
                <w:rFonts w:hint="eastAsia" w:ascii="微软雅黑" w:hAnsi="微软雅黑" w:eastAsia="微软雅黑" w:cs="微软雅黑"/>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6FC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67B8">
            <w:pPr>
              <w:jc w:val="center"/>
              <w:rPr>
                <w:rFonts w:hint="default" w:ascii="Arial" w:hAnsi="Arial" w:eastAsia="宋体" w:cs="Arial"/>
                <w:b/>
                <w:bCs/>
                <w:i w:val="0"/>
                <w:iCs w:val="0"/>
                <w:color w:val="000000"/>
                <w:sz w:val="22"/>
                <w:szCs w:val="22"/>
                <w:u w:val="none"/>
              </w:rPr>
            </w:pPr>
          </w:p>
        </w:tc>
      </w:tr>
      <w:tr w14:paraId="11B7E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1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C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屋顶钢结构（钢檩条、方管立柱、拉条、撑管、托板）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1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详见设计图纸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2E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2B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C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材质：Q235B、含防火涂料</w:t>
            </w:r>
          </w:p>
        </w:tc>
      </w:tr>
      <w:tr w14:paraId="51F3D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3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92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蓝色压型钢板卸爆屋面</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0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详见设计图纸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4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1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m2</w:t>
            </w:r>
          </w:p>
        </w:tc>
        <w:tc>
          <w:tcPr>
            <w:tcW w:w="3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C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屋面作法：外板,厚度不小于0.61厚，镀铝锌镁含量不小于165g/平方米的外板（蓝色）+1.5厚热塑性聚烯烃（TPO）高分子复合型防水卷材一道+0.5mm厚纺粘聚乙烯和聚丙乙烯膜+保温层采用100厚玻璃纤维棉毡(热反射铝箔)15-20kg/立方米+Z型支架100x50x2.0+0.5厚镀锌钢板（白色）</w:t>
            </w:r>
          </w:p>
        </w:tc>
      </w:tr>
      <w:tr w14:paraId="29008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D1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7CE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脉冲吸附池斜管支撑梁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1F59">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7E6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017C">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3B10">
            <w:pPr>
              <w:jc w:val="center"/>
              <w:rPr>
                <w:rFonts w:hint="eastAsia" w:ascii="宋体" w:hAnsi="宋体" w:eastAsia="宋体" w:cs="宋体"/>
                <w:i w:val="0"/>
                <w:iCs w:val="0"/>
                <w:color w:val="000000"/>
                <w:sz w:val="24"/>
                <w:szCs w:val="24"/>
                <w:u w:val="none"/>
              </w:rPr>
            </w:pPr>
          </w:p>
        </w:tc>
      </w:tr>
      <w:tr w14:paraId="7A19C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2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BF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槽钢[22a制作安装</w:t>
            </w:r>
          </w:p>
        </w:tc>
        <w:tc>
          <w:tcPr>
            <w:tcW w:w="4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E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[22a槽钢、饮水涂料外防腐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9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94.767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D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w:t>
            </w:r>
          </w:p>
        </w:tc>
        <w:tc>
          <w:tcPr>
            <w:tcW w:w="3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5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槽钢[22a制作安装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工程内容：1.制作、安装2.拼装3.喷砂除锈、喷涂4.探伤5.运输6.喷漆</w:t>
            </w:r>
          </w:p>
        </w:tc>
      </w:tr>
    </w:tbl>
    <w:p w14:paraId="1E71A6AC">
      <w:pPr>
        <w:rPr>
          <w:rFonts w:hint="eastAsia"/>
        </w:rPr>
      </w:pPr>
    </w:p>
    <w:p w14:paraId="1F3DA363">
      <w:pPr>
        <w:rPr>
          <w:rFonts w:hint="eastAsia"/>
          <w:lang w:eastAsia="zh-CN"/>
        </w:rPr>
      </w:pPr>
      <w:r>
        <w:rPr>
          <w:rFonts w:hint="eastAsia"/>
          <w:lang w:eastAsia="zh-CN"/>
        </w:rPr>
        <w:t>注：1.投标人须于投标文件中对项目需求内容真实详细的做出应答和承诺，同时提供相关证明材料。若中标后执行标准低于投标文件，采购人有权追究投标人的责任，并终止合同。</w:t>
      </w:r>
    </w:p>
    <w:p w14:paraId="1250976D">
      <w:pPr>
        <w:rPr>
          <w:rFonts w:hint="eastAsia" w:eastAsia="宋体"/>
          <w:lang w:eastAsia="zh-CN"/>
        </w:rPr>
        <w:sectPr>
          <w:pgSz w:w="16838" w:h="11906" w:orient="landscape"/>
          <w:pgMar w:top="1800" w:right="1440" w:bottom="1800" w:left="1440" w:header="851" w:footer="992" w:gutter="0"/>
          <w:pgNumType w:start="1"/>
          <w:cols w:space="720" w:num="1"/>
          <w:docGrid w:type="lines" w:linePitch="312" w:charSpace="0"/>
        </w:sectPr>
      </w:pPr>
      <w:r>
        <w:rPr>
          <w:rFonts w:hint="eastAsia"/>
          <w:lang w:eastAsia="zh-CN"/>
        </w:rPr>
        <w:t>2. 项目需求书为实质性技术需求，不满足视为无效投标。</w:t>
      </w:r>
    </w:p>
    <w:p w14:paraId="2C777251">
      <w:pPr>
        <w:pStyle w:val="2"/>
        <w:rPr>
          <w:rFonts w:hint="eastAsia" w:ascii="宋体" w:hAnsi="宋体" w:cs="宋体"/>
          <w:sz w:val="24"/>
        </w:rPr>
      </w:pPr>
      <w:bookmarkStart w:id="201" w:name="_Toc4863"/>
      <w:bookmarkStart w:id="202" w:name="_Toc98326845"/>
      <w:r>
        <w:rPr>
          <w:rFonts w:hint="eastAsia" w:ascii="宋体" w:hAnsi="宋体" w:cs="宋体"/>
          <w:sz w:val="40"/>
          <w:szCs w:val="52"/>
        </w:rPr>
        <w:t>第四章  评标办法</w:t>
      </w:r>
      <w:bookmarkEnd w:id="201"/>
    </w:p>
    <w:p w14:paraId="7D69677C">
      <w:pPr>
        <w:pStyle w:val="3"/>
        <w:spacing w:line="336" w:lineRule="auto"/>
        <w:rPr>
          <w:rFonts w:hint="eastAsia" w:ascii="宋体" w:hAnsi="宋体" w:eastAsia="宋体" w:cs="宋体"/>
          <w:sz w:val="30"/>
          <w:szCs w:val="30"/>
        </w:rPr>
      </w:pPr>
      <w:bookmarkStart w:id="203" w:name="_Toc15251"/>
      <w:bookmarkStart w:id="204" w:name="_Toc30214"/>
      <w:bookmarkStart w:id="205" w:name="_Toc10399"/>
      <w:bookmarkStart w:id="206" w:name="_Toc24118"/>
      <w:bookmarkStart w:id="207" w:name="_Toc4534"/>
      <w:bookmarkStart w:id="208" w:name="_Toc9110"/>
      <w:bookmarkStart w:id="209" w:name="_Toc4269"/>
      <w:bookmarkStart w:id="210" w:name="_Toc3420"/>
      <w:bookmarkStart w:id="211" w:name="_Toc24069"/>
      <w:bookmarkStart w:id="212" w:name="_Toc17247"/>
      <w:bookmarkStart w:id="213" w:name="_Toc27429"/>
      <w:bookmarkStart w:id="214" w:name="_Toc5640"/>
      <w:bookmarkStart w:id="215" w:name="_Toc27232"/>
      <w:bookmarkStart w:id="216" w:name="_Toc7923"/>
      <w:bookmarkStart w:id="217" w:name="_Toc27076"/>
      <w:r>
        <w:rPr>
          <w:rFonts w:hint="eastAsia" w:ascii="宋体" w:hAnsi="宋体" w:eastAsia="宋体" w:cs="宋体"/>
          <w:sz w:val="30"/>
          <w:szCs w:val="30"/>
        </w:rPr>
        <w:t>1.前言</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4FB40CFD">
      <w:pPr>
        <w:spacing w:line="336" w:lineRule="auto"/>
        <w:ind w:left="2" w:leftChars="1" w:firstLine="480" w:firstLineChars="200"/>
        <w:rPr>
          <w:rFonts w:hint="eastAsia" w:ascii="宋体" w:hAnsi="宋体" w:cs="宋体"/>
          <w:sz w:val="24"/>
        </w:rPr>
      </w:pPr>
      <w:r>
        <w:rPr>
          <w:rFonts w:hint="eastAsia" w:ascii="宋体" w:hAnsi="宋体" w:cs="宋体"/>
          <w:sz w:val="24"/>
        </w:rPr>
        <w:t>1.1 天津市</w:t>
      </w:r>
      <w:r>
        <w:rPr>
          <w:rFonts w:hint="eastAsia" w:ascii="宋体" w:hAnsi="宋体" w:cs="宋体"/>
          <w:sz w:val="24"/>
          <w:highlight w:val="none"/>
        </w:rPr>
        <w:t>管道工程集团有限公司第八分公司引滦原水预处理厂工程施工（第2标段）-钢结构屋面采购及安装专业分包项目，采取集团招标方式选择中标单位。为保证招标“公开、公平、公正”，根据国家有关招标投标的法律、法规及有关方针、政策，结合本工程的特点，制定</w:t>
      </w:r>
      <w:r>
        <w:rPr>
          <w:rFonts w:hint="eastAsia" w:ascii="宋体" w:hAnsi="宋体" w:cs="宋体"/>
          <w:sz w:val="24"/>
        </w:rPr>
        <w:t>本评标办法，实行评标的规范化、标准化、科学化。</w:t>
      </w:r>
    </w:p>
    <w:p w14:paraId="49631303">
      <w:pPr>
        <w:spacing w:line="336" w:lineRule="auto"/>
        <w:ind w:firstLine="480" w:firstLineChars="200"/>
        <w:rPr>
          <w:rFonts w:hint="eastAsia" w:ascii="宋体" w:hAnsi="宋体" w:cs="宋体"/>
          <w:sz w:val="24"/>
        </w:rPr>
      </w:pPr>
      <w:r>
        <w:rPr>
          <w:rFonts w:hint="eastAsia" w:ascii="宋体" w:hAnsi="宋体" w:cs="宋体"/>
          <w:sz w:val="24"/>
        </w:rPr>
        <w:t>1.2本评标办法仅适用于本次招标。</w:t>
      </w:r>
    </w:p>
    <w:p w14:paraId="78DD3067">
      <w:pPr>
        <w:widowControl/>
        <w:spacing w:line="360" w:lineRule="auto"/>
        <w:ind w:firstLine="480" w:firstLineChars="200"/>
        <w:jc w:val="left"/>
        <w:rPr>
          <w:rFonts w:hint="eastAsia" w:ascii="宋体" w:hAnsi="宋体" w:cs="宋体"/>
          <w:sz w:val="24"/>
        </w:rPr>
      </w:pPr>
      <w:r>
        <w:rPr>
          <w:rFonts w:hint="eastAsia" w:ascii="宋体" w:hAnsi="宋体" w:cs="宋体"/>
          <w:sz w:val="24"/>
        </w:rPr>
        <w:t>1.3本评标办法的解释和修订权属招标人：天津市管道工程集团有限公司第八分公司</w:t>
      </w:r>
    </w:p>
    <w:p w14:paraId="5896E936">
      <w:pPr>
        <w:pStyle w:val="3"/>
        <w:spacing w:line="336" w:lineRule="auto"/>
        <w:rPr>
          <w:rFonts w:hint="eastAsia" w:ascii="宋体" w:hAnsi="宋体" w:eastAsia="宋体" w:cs="宋体"/>
          <w:sz w:val="30"/>
          <w:szCs w:val="30"/>
        </w:rPr>
      </w:pPr>
      <w:bookmarkStart w:id="218" w:name="_Toc31273"/>
      <w:bookmarkStart w:id="219" w:name="_Toc31664"/>
      <w:bookmarkStart w:id="220" w:name="_Toc25666"/>
      <w:bookmarkStart w:id="221" w:name="_Toc30417"/>
      <w:bookmarkStart w:id="222" w:name="_Toc9197"/>
      <w:bookmarkStart w:id="223" w:name="_Toc16101"/>
      <w:bookmarkStart w:id="224" w:name="_Toc15129"/>
      <w:bookmarkStart w:id="225" w:name="_Toc11253"/>
      <w:bookmarkStart w:id="226" w:name="_Toc26124"/>
      <w:bookmarkStart w:id="227" w:name="_Toc10686"/>
      <w:bookmarkStart w:id="228" w:name="_Toc7976"/>
      <w:bookmarkStart w:id="229" w:name="_Toc19970"/>
      <w:bookmarkStart w:id="230" w:name="_Toc21970"/>
      <w:bookmarkStart w:id="231" w:name="_Toc16060"/>
      <w:bookmarkStart w:id="232" w:name="_Toc22592"/>
      <w:r>
        <w:rPr>
          <w:rFonts w:hint="eastAsia" w:ascii="宋体" w:hAnsi="宋体" w:eastAsia="宋体" w:cs="宋体"/>
          <w:sz w:val="30"/>
          <w:szCs w:val="30"/>
        </w:rPr>
        <w:t>2.评标依据</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307D97F5">
      <w:pPr>
        <w:spacing w:line="336" w:lineRule="auto"/>
        <w:ind w:left="2" w:leftChars="1" w:firstLine="480" w:firstLineChars="200"/>
        <w:rPr>
          <w:rFonts w:hint="eastAsia" w:ascii="宋体" w:hAnsi="宋体" w:cs="宋体"/>
          <w:sz w:val="24"/>
        </w:rPr>
      </w:pPr>
      <w:r>
        <w:rPr>
          <w:rFonts w:hint="eastAsia" w:ascii="宋体" w:hAnsi="宋体" w:cs="宋体"/>
          <w:sz w:val="24"/>
        </w:rPr>
        <w:t>2.1评标工作严格执行《中华人民共和国招标投标法》、国家七部委2001年第12号令《评标委员会和评标方法暂行规定》、《天津管道工程集团总承包项目分包、采购管理办法》等有关规定。</w:t>
      </w:r>
    </w:p>
    <w:p w14:paraId="5D3B5596">
      <w:pPr>
        <w:spacing w:line="336" w:lineRule="auto"/>
        <w:ind w:left="2" w:leftChars="1" w:firstLine="480" w:firstLineChars="200"/>
        <w:rPr>
          <w:rFonts w:hint="eastAsia" w:ascii="宋体" w:hAnsi="宋体" w:cs="宋体"/>
          <w:sz w:val="24"/>
        </w:rPr>
      </w:pPr>
      <w:r>
        <w:rPr>
          <w:rFonts w:hint="eastAsia" w:ascii="宋体" w:hAnsi="宋体" w:cs="宋体"/>
          <w:sz w:val="24"/>
        </w:rPr>
        <w:t>2.2评标的依据是招标文件及其补充通知、投标人的投标文件及其澄清文件以及本评标办法。</w:t>
      </w:r>
    </w:p>
    <w:p w14:paraId="484F558D">
      <w:pPr>
        <w:spacing w:line="336" w:lineRule="auto"/>
        <w:ind w:left="719" w:leftChars="228" w:hanging="240" w:hangingChars="100"/>
        <w:rPr>
          <w:rFonts w:hint="eastAsia" w:ascii="宋体" w:hAnsi="宋体" w:cs="宋体"/>
          <w:sz w:val="24"/>
        </w:rPr>
      </w:pPr>
      <w:r>
        <w:rPr>
          <w:rFonts w:hint="eastAsia" w:ascii="宋体" w:hAnsi="宋体" w:cs="宋体"/>
          <w:sz w:val="24"/>
        </w:rPr>
        <w:t>2.3本次评标采用综合评分法。</w:t>
      </w:r>
    </w:p>
    <w:p w14:paraId="2691D7F1">
      <w:pPr>
        <w:pStyle w:val="3"/>
        <w:spacing w:line="336" w:lineRule="auto"/>
        <w:rPr>
          <w:rFonts w:hint="eastAsia" w:ascii="宋体" w:hAnsi="宋体" w:eastAsia="宋体" w:cs="宋体"/>
          <w:sz w:val="30"/>
          <w:szCs w:val="30"/>
        </w:rPr>
      </w:pPr>
      <w:bookmarkStart w:id="233" w:name="_Toc31089"/>
      <w:bookmarkStart w:id="234" w:name="_Toc23243"/>
      <w:bookmarkStart w:id="235" w:name="_Toc19456"/>
      <w:bookmarkStart w:id="236" w:name="_Toc16698"/>
      <w:bookmarkStart w:id="237" w:name="_Toc24502"/>
      <w:bookmarkStart w:id="238" w:name="_Toc29061"/>
      <w:bookmarkStart w:id="239" w:name="_Toc11369"/>
      <w:bookmarkStart w:id="240" w:name="_Toc12013"/>
      <w:bookmarkStart w:id="241" w:name="_Toc16154"/>
      <w:bookmarkStart w:id="242" w:name="_Toc25532"/>
      <w:bookmarkStart w:id="243" w:name="_Toc10477"/>
      <w:bookmarkStart w:id="244" w:name="_Toc12640"/>
      <w:bookmarkStart w:id="245" w:name="_Toc20067"/>
      <w:bookmarkStart w:id="246" w:name="_Toc12930"/>
      <w:bookmarkStart w:id="247" w:name="_Toc2214"/>
      <w:r>
        <w:rPr>
          <w:rFonts w:hint="eastAsia" w:ascii="宋体" w:hAnsi="宋体" w:eastAsia="宋体" w:cs="宋体"/>
          <w:sz w:val="30"/>
          <w:szCs w:val="30"/>
        </w:rPr>
        <w:t>3.评标委员会</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44160A99">
      <w:pPr>
        <w:spacing w:line="360" w:lineRule="auto"/>
        <w:ind w:firstLine="477" w:firstLineChars="199"/>
        <w:rPr>
          <w:rFonts w:hint="eastAsia" w:ascii="宋体" w:hAnsi="宋体" w:cs="宋体"/>
          <w:sz w:val="24"/>
        </w:rPr>
      </w:pPr>
      <w:r>
        <w:rPr>
          <w:rFonts w:hint="eastAsia" w:ascii="宋体" w:hAnsi="宋体" w:cs="宋体"/>
          <w:sz w:val="24"/>
        </w:rPr>
        <w:t>按照《中华人民共和国招标投标法》、《天津市建设工程招标投标监督管理规定》(市政府30号令)、国家七部委《评标委员会和评标方法暂行规定》(12号令)等的规定，评标由招标人依法组建的评标委员会负责。评标委员会由招标人代表和有关技术、经济等方面的专家组成。本项目评标委员会由5人及5人以上组成，其中，从招标人评标专家库中随机抽取的技术、经济专家不少于成员总数的三分之二。</w:t>
      </w:r>
    </w:p>
    <w:p w14:paraId="1CA16574">
      <w:pPr>
        <w:spacing w:line="360" w:lineRule="auto"/>
        <w:ind w:firstLine="477" w:firstLineChars="199"/>
        <w:rPr>
          <w:rFonts w:hint="eastAsia" w:ascii="宋体" w:hAnsi="宋体" w:cs="宋体"/>
          <w:sz w:val="24"/>
        </w:rPr>
      </w:pPr>
      <w:r>
        <w:rPr>
          <w:rFonts w:hint="eastAsia" w:ascii="宋体" w:hAnsi="宋体" w:cs="宋体"/>
          <w:sz w:val="24"/>
        </w:rPr>
        <w:t>评标委员会的职责主要是：</w:t>
      </w:r>
    </w:p>
    <w:p w14:paraId="76BDCCC2">
      <w:pPr>
        <w:spacing w:line="360" w:lineRule="auto"/>
        <w:ind w:firstLine="477" w:firstLineChars="199"/>
        <w:rPr>
          <w:rFonts w:hint="eastAsia" w:ascii="宋体" w:hAnsi="宋体" w:cs="宋体"/>
          <w:sz w:val="24"/>
        </w:rPr>
      </w:pPr>
      <w:r>
        <w:rPr>
          <w:rFonts w:hint="eastAsia" w:ascii="宋体" w:hAnsi="宋体" w:cs="宋体"/>
          <w:sz w:val="24"/>
        </w:rPr>
        <w:t>(l)根据评标标准和办法及招标文件要求，对投标文件进行认真评审和比较，并对评标结果签字确认。</w:t>
      </w:r>
    </w:p>
    <w:p w14:paraId="6A652277">
      <w:pPr>
        <w:spacing w:line="360" w:lineRule="auto"/>
        <w:ind w:firstLine="477" w:firstLineChars="199"/>
        <w:rPr>
          <w:rFonts w:hint="eastAsia" w:ascii="宋体" w:hAnsi="宋体" w:cs="宋体"/>
          <w:sz w:val="24"/>
        </w:rPr>
      </w:pPr>
      <w:r>
        <w:rPr>
          <w:rFonts w:hint="eastAsia" w:ascii="宋体" w:hAnsi="宋体" w:cs="宋体"/>
          <w:sz w:val="24"/>
        </w:rPr>
        <w:t>(2)向招标人提交书面评标报告，推荐排序的中标候选人。</w:t>
      </w:r>
    </w:p>
    <w:p w14:paraId="44E80FF7">
      <w:pPr>
        <w:spacing w:line="360" w:lineRule="auto"/>
        <w:ind w:firstLine="477" w:firstLineChars="199"/>
        <w:rPr>
          <w:rFonts w:hint="eastAsia" w:ascii="宋体" w:hAnsi="宋体" w:cs="宋体"/>
          <w:sz w:val="24"/>
        </w:rPr>
      </w:pPr>
      <w:r>
        <w:rPr>
          <w:rFonts w:hint="eastAsia" w:ascii="宋体" w:hAnsi="宋体" w:cs="宋体"/>
          <w:sz w:val="24"/>
        </w:rPr>
        <w:t>(3)在评标过程中，评委对废标或其他问题意见出现歧义时，应服从少数服从多数的原则，不同意见的评委以书面形式阐述自己的意见，评委应当对自己所做出的结论承担责任。</w:t>
      </w:r>
    </w:p>
    <w:p w14:paraId="15B93D51">
      <w:pPr>
        <w:pStyle w:val="3"/>
        <w:spacing w:line="336" w:lineRule="auto"/>
        <w:rPr>
          <w:rFonts w:hint="eastAsia" w:ascii="宋体" w:hAnsi="宋体" w:eastAsia="宋体" w:cs="宋体"/>
          <w:sz w:val="30"/>
          <w:szCs w:val="30"/>
        </w:rPr>
      </w:pPr>
      <w:bookmarkStart w:id="248" w:name="_Toc28854"/>
      <w:bookmarkStart w:id="249" w:name="_Toc24821"/>
      <w:bookmarkStart w:id="250" w:name="_Toc19364"/>
      <w:bookmarkStart w:id="251" w:name="_Toc29270"/>
      <w:bookmarkStart w:id="252" w:name="_Toc5276"/>
      <w:bookmarkStart w:id="253" w:name="_Toc9238"/>
      <w:bookmarkStart w:id="254" w:name="_Toc7033"/>
      <w:bookmarkStart w:id="255" w:name="_Toc11875"/>
      <w:bookmarkStart w:id="256" w:name="_Toc17497"/>
      <w:bookmarkStart w:id="257" w:name="_Toc24547"/>
      <w:bookmarkStart w:id="258" w:name="_Toc29115"/>
      <w:bookmarkStart w:id="259" w:name="_Toc12742"/>
      <w:bookmarkStart w:id="260" w:name="_Toc10100"/>
      <w:bookmarkStart w:id="261" w:name="_Toc7064"/>
      <w:bookmarkStart w:id="262" w:name="_Toc9718"/>
      <w:r>
        <w:rPr>
          <w:rFonts w:hint="eastAsia" w:ascii="宋体" w:hAnsi="宋体" w:eastAsia="宋体" w:cs="宋体"/>
          <w:sz w:val="30"/>
          <w:szCs w:val="30"/>
        </w:rPr>
        <w:t>4.评标人员应遵守的原则和纪律</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7E7203F2">
      <w:pPr>
        <w:autoSpaceDE w:val="0"/>
        <w:autoSpaceDN w:val="0"/>
        <w:adjustRightInd w:val="0"/>
        <w:spacing w:line="336" w:lineRule="auto"/>
        <w:ind w:firstLine="482" w:firstLineChars="200"/>
        <w:jc w:val="left"/>
        <w:rPr>
          <w:rFonts w:hint="eastAsia" w:ascii="宋体" w:hAnsi="宋体" w:cs="宋体"/>
          <w:b/>
          <w:bCs/>
          <w:sz w:val="24"/>
        </w:rPr>
      </w:pPr>
      <w:r>
        <w:rPr>
          <w:rFonts w:hint="eastAsia" w:ascii="宋体" w:hAnsi="宋体" w:cs="宋体"/>
          <w:b/>
          <w:bCs/>
          <w:sz w:val="24"/>
        </w:rPr>
        <w:t>4.1评标原则</w:t>
      </w:r>
    </w:p>
    <w:p w14:paraId="770E4B9A">
      <w:pPr>
        <w:autoSpaceDE w:val="0"/>
        <w:autoSpaceDN w:val="0"/>
        <w:adjustRightInd w:val="0"/>
        <w:spacing w:line="336" w:lineRule="auto"/>
        <w:ind w:firstLine="480" w:firstLineChars="200"/>
        <w:jc w:val="left"/>
        <w:rPr>
          <w:rFonts w:hint="eastAsia" w:ascii="宋体" w:hAnsi="宋体" w:cs="宋体"/>
          <w:bCs/>
          <w:sz w:val="24"/>
        </w:rPr>
      </w:pPr>
      <w:r>
        <w:rPr>
          <w:rFonts w:hint="eastAsia" w:ascii="宋体" w:hAnsi="宋体" w:cs="宋体"/>
          <w:bCs/>
          <w:sz w:val="24"/>
        </w:rPr>
        <w:t>4.1.1评标遵循公平、公正、科学、择优的原则。</w:t>
      </w:r>
    </w:p>
    <w:p w14:paraId="7A775A56">
      <w:pPr>
        <w:autoSpaceDE w:val="0"/>
        <w:autoSpaceDN w:val="0"/>
        <w:adjustRightInd w:val="0"/>
        <w:spacing w:line="336" w:lineRule="auto"/>
        <w:ind w:firstLine="480" w:firstLineChars="200"/>
        <w:jc w:val="left"/>
        <w:rPr>
          <w:rFonts w:hint="eastAsia" w:ascii="宋体" w:hAnsi="宋体" w:cs="宋体"/>
          <w:bCs/>
          <w:sz w:val="24"/>
        </w:rPr>
      </w:pPr>
      <w:r>
        <w:rPr>
          <w:rFonts w:hint="eastAsia" w:ascii="宋体" w:hAnsi="宋体" w:cs="宋体"/>
          <w:bCs/>
          <w:sz w:val="24"/>
        </w:rPr>
        <w:t>4.1.2对所有投标人的投标评估，都采用相同的程序和标准。</w:t>
      </w:r>
    </w:p>
    <w:p w14:paraId="4FD19E23">
      <w:pPr>
        <w:autoSpaceDE w:val="0"/>
        <w:autoSpaceDN w:val="0"/>
        <w:adjustRightInd w:val="0"/>
        <w:spacing w:line="336" w:lineRule="auto"/>
        <w:ind w:firstLine="480" w:firstLineChars="200"/>
        <w:jc w:val="left"/>
        <w:rPr>
          <w:rFonts w:hint="eastAsia" w:ascii="宋体" w:hAnsi="宋体" w:cs="宋体"/>
          <w:bCs/>
          <w:sz w:val="24"/>
        </w:rPr>
      </w:pPr>
      <w:r>
        <w:rPr>
          <w:rFonts w:hint="eastAsia" w:ascii="宋体" w:hAnsi="宋体" w:cs="宋体"/>
          <w:bCs/>
          <w:sz w:val="24"/>
        </w:rPr>
        <w:t>4.1.3评标将采用综合评估法，严格按照招标文件的要求和评标标准及办法进行。</w:t>
      </w:r>
    </w:p>
    <w:p w14:paraId="37AC7929">
      <w:pPr>
        <w:autoSpaceDE w:val="0"/>
        <w:autoSpaceDN w:val="0"/>
        <w:adjustRightInd w:val="0"/>
        <w:spacing w:line="336" w:lineRule="auto"/>
        <w:ind w:firstLine="480" w:firstLineChars="200"/>
        <w:jc w:val="left"/>
        <w:rPr>
          <w:rFonts w:hint="eastAsia" w:ascii="宋体" w:hAnsi="宋体" w:cs="宋体"/>
          <w:bCs/>
          <w:sz w:val="24"/>
        </w:rPr>
      </w:pPr>
      <w:r>
        <w:rPr>
          <w:rFonts w:hint="eastAsia" w:ascii="宋体" w:hAnsi="宋体" w:cs="宋体"/>
          <w:bCs/>
          <w:sz w:val="24"/>
        </w:rPr>
        <w:t>4.1.4根据招标文件规定的各项综合评价标准通过评审打分排序推荐中标候选人排名。</w:t>
      </w:r>
    </w:p>
    <w:p w14:paraId="6EB0E891">
      <w:pPr>
        <w:autoSpaceDE w:val="0"/>
        <w:autoSpaceDN w:val="0"/>
        <w:adjustRightInd w:val="0"/>
        <w:spacing w:line="336" w:lineRule="auto"/>
        <w:ind w:firstLine="480" w:firstLineChars="200"/>
        <w:jc w:val="left"/>
        <w:rPr>
          <w:rFonts w:hint="eastAsia" w:ascii="宋体" w:hAnsi="宋体" w:cs="宋体"/>
          <w:bCs/>
          <w:sz w:val="24"/>
        </w:rPr>
      </w:pPr>
      <w:r>
        <w:rPr>
          <w:rFonts w:hint="eastAsia" w:ascii="宋体" w:hAnsi="宋体" w:cs="宋体"/>
          <w:bCs/>
          <w:sz w:val="24"/>
        </w:rPr>
        <w:t>4.1.5评标委员会判断投标文件的投标人性仅基于投标文件本身而不靠外部证据。</w:t>
      </w:r>
    </w:p>
    <w:p w14:paraId="13D6F83E">
      <w:pPr>
        <w:autoSpaceDE w:val="0"/>
        <w:autoSpaceDN w:val="0"/>
        <w:adjustRightInd w:val="0"/>
        <w:spacing w:line="336" w:lineRule="auto"/>
        <w:ind w:firstLine="480" w:firstLineChars="200"/>
        <w:jc w:val="left"/>
        <w:rPr>
          <w:rFonts w:hint="eastAsia" w:ascii="宋体" w:hAnsi="宋体" w:cs="宋体"/>
          <w:sz w:val="24"/>
        </w:rPr>
      </w:pPr>
      <w:r>
        <w:rPr>
          <w:rFonts w:hint="eastAsia" w:ascii="宋体" w:hAnsi="宋体" w:cs="宋体"/>
          <w:bCs/>
          <w:sz w:val="24"/>
        </w:rPr>
        <w:t>4.1.6评标委员会拒绝被确定为非实质性投标人的投标，投标人不能通过修正或撤销不符之处而使其投标成为实质性投标人的投标。</w:t>
      </w:r>
    </w:p>
    <w:p w14:paraId="38FE15DA">
      <w:pPr>
        <w:autoSpaceDE w:val="0"/>
        <w:autoSpaceDN w:val="0"/>
        <w:adjustRightInd w:val="0"/>
        <w:spacing w:line="336" w:lineRule="auto"/>
        <w:ind w:firstLine="482" w:firstLineChars="200"/>
        <w:jc w:val="left"/>
        <w:rPr>
          <w:rFonts w:hint="eastAsia" w:ascii="宋体" w:hAnsi="宋体" w:cs="宋体"/>
          <w:b/>
          <w:sz w:val="24"/>
        </w:rPr>
      </w:pPr>
      <w:r>
        <w:rPr>
          <w:rFonts w:hint="eastAsia" w:ascii="宋体" w:hAnsi="宋体" w:cs="宋体"/>
          <w:b/>
          <w:sz w:val="24"/>
        </w:rPr>
        <w:t>4.2评标纪律</w:t>
      </w:r>
    </w:p>
    <w:p w14:paraId="06990FEF">
      <w:pPr>
        <w:autoSpaceDE w:val="0"/>
        <w:autoSpaceDN w:val="0"/>
        <w:adjustRightInd w:val="0"/>
        <w:spacing w:line="336" w:lineRule="auto"/>
        <w:ind w:firstLine="480" w:firstLineChars="200"/>
        <w:jc w:val="left"/>
        <w:rPr>
          <w:rFonts w:hint="eastAsia" w:ascii="宋体" w:hAnsi="宋体" w:cs="宋体"/>
          <w:sz w:val="24"/>
        </w:rPr>
      </w:pPr>
      <w:r>
        <w:rPr>
          <w:rFonts w:hint="eastAsia" w:ascii="宋体" w:hAnsi="宋体" w:cs="宋体"/>
          <w:sz w:val="24"/>
        </w:rPr>
        <w:t xml:space="preserve">4.2.1评标委员会成员应当客观、公正地履行职责，遵守职业道德，对所提出的评审意见承担个人责任； </w:t>
      </w:r>
    </w:p>
    <w:p w14:paraId="3904FF18">
      <w:pPr>
        <w:autoSpaceDE w:val="0"/>
        <w:autoSpaceDN w:val="0"/>
        <w:adjustRightInd w:val="0"/>
        <w:spacing w:line="336" w:lineRule="auto"/>
        <w:ind w:firstLine="480" w:firstLineChars="200"/>
        <w:jc w:val="left"/>
        <w:rPr>
          <w:rFonts w:hint="eastAsia" w:ascii="宋体" w:hAnsi="宋体" w:cs="宋体"/>
          <w:sz w:val="24"/>
        </w:rPr>
      </w:pPr>
      <w:r>
        <w:rPr>
          <w:rFonts w:hint="eastAsia" w:ascii="宋体" w:hAnsi="宋体" w:cs="宋体"/>
          <w:sz w:val="24"/>
        </w:rPr>
        <w:t>4.2.2评标委员会成员和与评标活动有关的工作人员不得向任何投标人或与评标工作无关的人员透露与评标有关的任何情况；</w:t>
      </w:r>
    </w:p>
    <w:p w14:paraId="0FBB0933">
      <w:pPr>
        <w:autoSpaceDE w:val="0"/>
        <w:autoSpaceDN w:val="0"/>
        <w:adjustRightInd w:val="0"/>
        <w:spacing w:line="336" w:lineRule="auto"/>
        <w:ind w:firstLine="480" w:firstLineChars="200"/>
        <w:jc w:val="left"/>
        <w:rPr>
          <w:rFonts w:hint="eastAsia" w:ascii="宋体" w:hAnsi="宋体" w:cs="宋体"/>
          <w:sz w:val="24"/>
        </w:rPr>
      </w:pPr>
      <w:r>
        <w:rPr>
          <w:rFonts w:hint="eastAsia" w:ascii="宋体" w:hAnsi="宋体" w:cs="宋体"/>
          <w:sz w:val="24"/>
        </w:rPr>
        <w:t>4.2.3封闭评标期间，评委不得独自与外界接触，个人的通讯工具均应交由招标人员集中保管。需要和外部联系应通过招标人员联系。</w:t>
      </w:r>
    </w:p>
    <w:p w14:paraId="155C95F6">
      <w:pPr>
        <w:pStyle w:val="3"/>
        <w:spacing w:line="336" w:lineRule="auto"/>
        <w:rPr>
          <w:rFonts w:hint="eastAsia" w:ascii="宋体" w:hAnsi="宋体" w:eastAsia="宋体" w:cs="宋体"/>
          <w:sz w:val="30"/>
          <w:szCs w:val="30"/>
        </w:rPr>
      </w:pPr>
      <w:bookmarkStart w:id="263" w:name="_Toc29082"/>
      <w:bookmarkStart w:id="264" w:name="_Toc16404"/>
      <w:bookmarkStart w:id="265" w:name="_Toc29129"/>
      <w:bookmarkStart w:id="266" w:name="_Toc31793"/>
      <w:bookmarkStart w:id="267" w:name="_Toc3369"/>
      <w:bookmarkStart w:id="268" w:name="_Toc3238"/>
      <w:bookmarkStart w:id="269" w:name="_Toc5885"/>
      <w:bookmarkStart w:id="270" w:name="_Toc29853"/>
      <w:bookmarkStart w:id="271" w:name="_Toc2310"/>
      <w:bookmarkStart w:id="272" w:name="_Toc4537"/>
      <w:bookmarkStart w:id="273" w:name="_Toc15033"/>
      <w:bookmarkStart w:id="274" w:name="_Toc11316"/>
      <w:bookmarkStart w:id="275" w:name="_Toc21533"/>
      <w:bookmarkStart w:id="276" w:name="_Toc7754"/>
      <w:bookmarkStart w:id="277" w:name="_Toc273"/>
      <w:r>
        <w:rPr>
          <w:rFonts w:hint="eastAsia" w:ascii="宋体" w:hAnsi="宋体" w:eastAsia="宋体" w:cs="宋体"/>
          <w:sz w:val="30"/>
          <w:szCs w:val="30"/>
        </w:rPr>
        <w:t>5.评标办法</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1BF1CD32">
      <w:pPr>
        <w:autoSpaceDE w:val="0"/>
        <w:autoSpaceDN w:val="0"/>
        <w:adjustRightInd w:val="0"/>
        <w:spacing w:line="336" w:lineRule="auto"/>
        <w:ind w:firstLine="482" w:firstLineChars="200"/>
        <w:jc w:val="left"/>
        <w:rPr>
          <w:rFonts w:hint="eastAsia" w:ascii="宋体" w:hAnsi="宋体" w:cs="宋体"/>
          <w:b/>
          <w:sz w:val="24"/>
        </w:rPr>
      </w:pPr>
      <w:r>
        <w:rPr>
          <w:rFonts w:hint="eastAsia" w:ascii="宋体" w:hAnsi="宋体" w:cs="宋体"/>
          <w:b/>
          <w:sz w:val="24"/>
        </w:rPr>
        <w:t>5.1.资格审查</w:t>
      </w:r>
    </w:p>
    <w:p w14:paraId="2659ADF0">
      <w:pPr>
        <w:spacing w:line="360" w:lineRule="auto"/>
        <w:ind w:firstLine="480" w:firstLineChars="200"/>
        <w:rPr>
          <w:rFonts w:hint="eastAsia" w:ascii="宋体" w:hAnsi="宋体" w:cs="宋体"/>
          <w:bCs/>
          <w:sz w:val="24"/>
        </w:rPr>
      </w:pPr>
      <w:r>
        <w:rPr>
          <w:rFonts w:hint="eastAsia" w:ascii="宋体" w:hAnsi="宋体" w:cs="宋体"/>
          <w:bCs/>
          <w:sz w:val="24"/>
        </w:rPr>
        <w:t>在评标前对投标人进行资格审查，下列实质性资格审查条件不具备之一者，评审视为不合格，将不能通过资格审查。</w:t>
      </w:r>
      <w:r>
        <w:rPr>
          <w:rFonts w:hint="eastAsia" w:ascii="宋体" w:hAnsi="宋体" w:cs="宋体"/>
          <w:sz w:val="24"/>
        </w:rPr>
        <w:t>投标单位递交投标文件时，应同时递交以下证件原件予以核验。（原件备查）</w:t>
      </w:r>
    </w:p>
    <w:tbl>
      <w:tblPr>
        <w:tblStyle w:val="4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129"/>
        <w:gridCol w:w="6299"/>
      </w:tblGrid>
      <w:tr w14:paraId="2D55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blHeader/>
          <w:jc w:val="center"/>
        </w:trPr>
        <w:tc>
          <w:tcPr>
            <w:tcW w:w="860" w:type="dxa"/>
            <w:vAlign w:val="center"/>
          </w:tcPr>
          <w:p w14:paraId="5972A18F">
            <w:pPr>
              <w:spacing w:line="360" w:lineRule="auto"/>
              <w:jc w:val="center"/>
              <w:rPr>
                <w:rFonts w:hint="eastAsia" w:ascii="宋体" w:hAnsi="宋体" w:cs="宋体"/>
                <w:sz w:val="24"/>
              </w:rPr>
            </w:pPr>
            <w:r>
              <w:rPr>
                <w:rFonts w:hint="eastAsia" w:ascii="宋体" w:hAnsi="宋体" w:cs="宋体"/>
                <w:sz w:val="24"/>
              </w:rPr>
              <w:t>序号</w:t>
            </w:r>
          </w:p>
        </w:tc>
        <w:tc>
          <w:tcPr>
            <w:tcW w:w="2129" w:type="dxa"/>
            <w:vAlign w:val="center"/>
          </w:tcPr>
          <w:p w14:paraId="1DACCED5">
            <w:pPr>
              <w:spacing w:line="360" w:lineRule="auto"/>
              <w:jc w:val="center"/>
              <w:rPr>
                <w:rFonts w:hint="eastAsia" w:ascii="宋体" w:hAnsi="宋体" w:cs="宋体"/>
                <w:sz w:val="24"/>
              </w:rPr>
            </w:pPr>
            <w:r>
              <w:rPr>
                <w:rFonts w:hint="eastAsia" w:ascii="宋体" w:hAnsi="宋体" w:cs="宋体"/>
                <w:sz w:val="24"/>
              </w:rPr>
              <w:t>项目内容</w:t>
            </w:r>
          </w:p>
        </w:tc>
        <w:tc>
          <w:tcPr>
            <w:tcW w:w="6299" w:type="dxa"/>
            <w:vAlign w:val="center"/>
          </w:tcPr>
          <w:p w14:paraId="098779BB">
            <w:pPr>
              <w:spacing w:line="360" w:lineRule="auto"/>
              <w:jc w:val="center"/>
              <w:rPr>
                <w:rFonts w:hint="eastAsia" w:ascii="宋体" w:hAnsi="宋体" w:cs="宋体"/>
                <w:sz w:val="24"/>
              </w:rPr>
            </w:pPr>
            <w:r>
              <w:rPr>
                <w:rFonts w:hint="eastAsia" w:ascii="宋体" w:hAnsi="宋体" w:cs="宋体"/>
                <w:sz w:val="24"/>
              </w:rPr>
              <w:t>合格条件</w:t>
            </w:r>
          </w:p>
        </w:tc>
      </w:tr>
      <w:tr w14:paraId="1364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860" w:type="dxa"/>
            <w:vAlign w:val="center"/>
          </w:tcPr>
          <w:p w14:paraId="48BADEB7">
            <w:pPr>
              <w:spacing w:line="360" w:lineRule="auto"/>
              <w:jc w:val="center"/>
              <w:rPr>
                <w:rFonts w:hint="eastAsia" w:ascii="宋体" w:hAnsi="宋体" w:cs="宋体"/>
                <w:sz w:val="24"/>
              </w:rPr>
            </w:pPr>
            <w:r>
              <w:rPr>
                <w:rFonts w:hint="eastAsia" w:ascii="宋体" w:hAnsi="宋体" w:cs="宋体"/>
                <w:sz w:val="24"/>
              </w:rPr>
              <w:t>1</w:t>
            </w:r>
          </w:p>
        </w:tc>
        <w:tc>
          <w:tcPr>
            <w:tcW w:w="2129" w:type="dxa"/>
            <w:vAlign w:val="center"/>
          </w:tcPr>
          <w:p w14:paraId="43FEF90F">
            <w:pPr>
              <w:pStyle w:val="17"/>
              <w:spacing w:line="360" w:lineRule="auto"/>
              <w:ind w:firstLine="0"/>
              <w:jc w:val="center"/>
              <w:rPr>
                <w:rFonts w:hint="eastAsia" w:ascii="宋体" w:hAnsi="宋体" w:eastAsia="宋体" w:cs="宋体"/>
                <w:szCs w:val="24"/>
              </w:rPr>
            </w:pPr>
            <w:r>
              <w:rPr>
                <w:rFonts w:hint="eastAsia" w:ascii="宋体" w:hAnsi="宋体" w:eastAsia="宋体" w:cs="宋体"/>
                <w:szCs w:val="24"/>
              </w:rPr>
              <w:t>企业资格（副本）</w:t>
            </w:r>
          </w:p>
        </w:tc>
        <w:tc>
          <w:tcPr>
            <w:tcW w:w="6299" w:type="dxa"/>
            <w:vAlign w:val="center"/>
          </w:tcPr>
          <w:p w14:paraId="27A5817A">
            <w:pPr>
              <w:pStyle w:val="17"/>
              <w:spacing w:line="360" w:lineRule="auto"/>
              <w:ind w:firstLine="0"/>
              <w:rPr>
                <w:rFonts w:hint="eastAsia" w:ascii="宋体" w:hAnsi="宋体" w:eastAsia="宋体" w:cs="宋体"/>
                <w:kern w:val="0"/>
                <w:szCs w:val="24"/>
              </w:rPr>
            </w:pPr>
            <w:r>
              <w:rPr>
                <w:rFonts w:hint="eastAsia" w:ascii="宋体" w:hAnsi="宋体" w:eastAsia="宋体" w:cs="宋体"/>
              </w:rPr>
              <w:t>1.营业执照副本复</w:t>
            </w:r>
            <w:r>
              <w:rPr>
                <w:rFonts w:hint="eastAsia" w:ascii="宋体" w:hAnsi="宋体" w:eastAsia="宋体" w:cs="宋体"/>
                <w:highlight w:val="none"/>
              </w:rPr>
              <w:t>印件、</w:t>
            </w:r>
            <w:r>
              <w:rPr>
                <w:rFonts w:hint="eastAsia" w:ascii="宋体" w:hAnsi="宋体" w:eastAsia="宋体" w:cs="宋体"/>
                <w:highlight w:val="none"/>
                <w:lang w:eastAsia="zh-CN"/>
              </w:rPr>
              <w:t>钢结构</w:t>
            </w:r>
            <w:r>
              <w:rPr>
                <w:rFonts w:hint="eastAsia" w:ascii="宋体" w:hAnsi="宋体" w:eastAsia="宋体" w:cs="宋体"/>
                <w:highlight w:val="none"/>
              </w:rPr>
              <w:t>工程专业承包二级及以上资质复印件、安全生产许可证复印件并加盖公章、法人章，且均在有效期内。</w:t>
            </w:r>
          </w:p>
        </w:tc>
      </w:tr>
      <w:tr w14:paraId="4A1C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exact"/>
          <w:jc w:val="center"/>
        </w:trPr>
        <w:tc>
          <w:tcPr>
            <w:tcW w:w="860" w:type="dxa"/>
            <w:vAlign w:val="center"/>
          </w:tcPr>
          <w:p w14:paraId="230B2BAD">
            <w:pPr>
              <w:spacing w:line="360" w:lineRule="auto"/>
              <w:jc w:val="center"/>
              <w:rPr>
                <w:rFonts w:hint="eastAsia" w:ascii="宋体" w:hAnsi="宋体" w:cs="宋体"/>
                <w:sz w:val="24"/>
              </w:rPr>
            </w:pPr>
            <w:r>
              <w:rPr>
                <w:rFonts w:hint="eastAsia" w:ascii="宋体" w:hAnsi="宋体" w:cs="宋体"/>
                <w:sz w:val="24"/>
              </w:rPr>
              <w:t>2</w:t>
            </w:r>
          </w:p>
        </w:tc>
        <w:tc>
          <w:tcPr>
            <w:tcW w:w="2129" w:type="dxa"/>
            <w:vAlign w:val="center"/>
          </w:tcPr>
          <w:p w14:paraId="7E97405E">
            <w:pPr>
              <w:pStyle w:val="17"/>
              <w:spacing w:line="360" w:lineRule="auto"/>
              <w:ind w:firstLine="0"/>
              <w:jc w:val="center"/>
              <w:rPr>
                <w:rFonts w:hint="eastAsia" w:ascii="宋体" w:hAnsi="宋体" w:eastAsia="宋体" w:cs="宋体"/>
                <w:szCs w:val="24"/>
              </w:rPr>
            </w:pPr>
            <w:r>
              <w:rPr>
                <w:rFonts w:hint="eastAsia" w:ascii="宋体" w:hAnsi="宋体" w:eastAsia="宋体" w:cs="宋体"/>
                <w:szCs w:val="24"/>
              </w:rPr>
              <w:t>无重大违法记录的书面声明</w:t>
            </w:r>
          </w:p>
        </w:tc>
        <w:tc>
          <w:tcPr>
            <w:tcW w:w="6299" w:type="dxa"/>
            <w:vAlign w:val="center"/>
          </w:tcPr>
          <w:p w14:paraId="0B8D6304">
            <w:pPr>
              <w:snapToGrid w:val="0"/>
              <w:spacing w:line="360" w:lineRule="auto"/>
              <w:rPr>
                <w:rFonts w:hint="eastAsia" w:ascii="宋体" w:hAnsi="宋体" w:cs="宋体"/>
                <w:sz w:val="24"/>
              </w:rPr>
            </w:pPr>
            <w:r>
              <w:rPr>
                <w:rFonts w:hint="eastAsia" w:ascii="宋体" w:hAnsi="宋体" w:cs="宋体"/>
                <w:sz w:val="24"/>
              </w:rPr>
              <w:t>投标截止日前3年在经营活动中没有重大违法记录的书面声明（截止开标日成立不足3年的投标人可提供自成立以来无重大违法记录的书面声名）并加盖公章、法人章。</w:t>
            </w:r>
          </w:p>
        </w:tc>
      </w:tr>
      <w:tr w14:paraId="314D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60" w:type="dxa"/>
            <w:vAlign w:val="center"/>
          </w:tcPr>
          <w:p w14:paraId="3C2FB30F">
            <w:pPr>
              <w:spacing w:line="360" w:lineRule="auto"/>
              <w:jc w:val="center"/>
              <w:rPr>
                <w:rFonts w:hint="eastAsia" w:ascii="宋体" w:hAnsi="宋体" w:cs="宋体"/>
                <w:sz w:val="24"/>
              </w:rPr>
            </w:pPr>
            <w:r>
              <w:rPr>
                <w:rFonts w:hint="eastAsia" w:ascii="宋体" w:hAnsi="宋体" w:cs="宋体"/>
                <w:sz w:val="24"/>
              </w:rPr>
              <w:t>3</w:t>
            </w:r>
          </w:p>
        </w:tc>
        <w:tc>
          <w:tcPr>
            <w:tcW w:w="2129" w:type="dxa"/>
            <w:vAlign w:val="center"/>
          </w:tcPr>
          <w:p w14:paraId="0CF52DA1">
            <w:pPr>
              <w:pStyle w:val="17"/>
              <w:spacing w:line="360" w:lineRule="auto"/>
              <w:ind w:firstLine="0"/>
              <w:jc w:val="center"/>
              <w:rPr>
                <w:rFonts w:hint="eastAsia" w:ascii="宋体" w:hAnsi="宋体" w:eastAsia="宋体" w:cs="宋体"/>
                <w:bCs/>
              </w:rPr>
            </w:pPr>
            <w:r>
              <w:rPr>
                <w:rFonts w:hint="eastAsia" w:ascii="宋体" w:hAnsi="宋体" w:eastAsia="宋体" w:cs="宋体"/>
                <w:bCs/>
              </w:rPr>
              <w:t>法定代表人或被授权委托人</w:t>
            </w:r>
          </w:p>
        </w:tc>
        <w:tc>
          <w:tcPr>
            <w:tcW w:w="6299" w:type="dxa"/>
            <w:vAlign w:val="center"/>
          </w:tcPr>
          <w:p w14:paraId="34E43189">
            <w:pPr>
              <w:snapToGrid w:val="0"/>
              <w:spacing w:line="360" w:lineRule="auto"/>
              <w:rPr>
                <w:rFonts w:hint="eastAsia" w:ascii="宋体" w:hAnsi="宋体" w:cs="宋体"/>
                <w:kern w:val="0"/>
                <w:sz w:val="24"/>
              </w:rPr>
            </w:pPr>
            <w:r>
              <w:rPr>
                <w:rFonts w:hint="eastAsia" w:ascii="宋体" w:hAnsi="宋体" w:cs="宋体"/>
                <w:sz w:val="24"/>
              </w:rPr>
              <w:t>投标人须由法定代表人或其授权的委托人参加投标。投标人若为法定代表人投标，须提供法定代表人身份证明原件（如身份证、护照）；投标人若为被授权的委托人投标，须提供法人代表授权书（须由法定代表人签字且盖章）和被授权人身份证原件以及被授权人开标前近一个月的社保证明。</w:t>
            </w:r>
          </w:p>
        </w:tc>
      </w:tr>
    </w:tbl>
    <w:p w14:paraId="783E7123">
      <w:pPr>
        <w:pStyle w:val="15"/>
        <w:rPr>
          <w:rFonts w:hint="eastAsia" w:ascii="宋体" w:hAnsi="宋体" w:eastAsia="宋体" w:cs="宋体"/>
          <w:bCs/>
        </w:rPr>
      </w:pPr>
    </w:p>
    <w:p w14:paraId="0E8730CC">
      <w:pPr>
        <w:spacing w:before="156" w:beforeLines="50" w:line="360" w:lineRule="auto"/>
        <w:rPr>
          <w:rFonts w:hint="eastAsia" w:ascii="宋体" w:hAnsi="宋体" w:cs="宋体"/>
          <w:kern w:val="0"/>
          <w:sz w:val="24"/>
          <w:szCs w:val="20"/>
        </w:rPr>
      </w:pPr>
      <w:r>
        <w:rPr>
          <w:rFonts w:hint="eastAsia" w:ascii="宋体" w:hAnsi="宋体" w:cs="宋体"/>
          <w:kern w:val="0"/>
          <w:sz w:val="24"/>
          <w:szCs w:val="20"/>
        </w:rPr>
        <w:t>注：投标人必须在资格审查投标文件中提供上述资料的复印件。以上各项中有一项不合格的为资格后审不合格，资格后审不合格的投标文件不得进入详细评审阶段。通过资格后审的投标人的投标文件参加商务标、资信技术标的评审。</w:t>
      </w:r>
    </w:p>
    <w:p w14:paraId="7367B6EE">
      <w:pPr>
        <w:tabs>
          <w:tab w:val="left" w:pos="5457"/>
        </w:tabs>
        <w:spacing w:line="360" w:lineRule="auto"/>
        <w:ind w:firstLine="480" w:firstLineChars="200"/>
        <w:rPr>
          <w:rFonts w:hint="eastAsia" w:ascii="宋体" w:hAnsi="宋体" w:cs="宋体"/>
          <w:sz w:val="24"/>
        </w:rPr>
      </w:pPr>
      <w:r>
        <w:rPr>
          <w:rFonts w:hint="eastAsia" w:ascii="宋体" w:hAnsi="宋体" w:cs="宋体"/>
          <w:sz w:val="24"/>
        </w:rPr>
        <w:t>5.2资格后审的评审结果为合格、不合格两种。资格后审不合格，不进入技术标、资信标的评审。</w:t>
      </w:r>
    </w:p>
    <w:p w14:paraId="6CE1CAD5">
      <w:pPr>
        <w:spacing w:line="360" w:lineRule="auto"/>
        <w:ind w:firstLine="538"/>
        <w:rPr>
          <w:rFonts w:hint="eastAsia" w:ascii="宋体" w:hAnsi="宋体" w:cs="宋体"/>
          <w:sz w:val="24"/>
        </w:rPr>
      </w:pPr>
      <w:r>
        <w:rPr>
          <w:rFonts w:hint="eastAsia" w:ascii="宋体" w:hAnsi="宋体" w:cs="宋体"/>
          <w:sz w:val="24"/>
        </w:rPr>
        <w:t>5.3评标委员会对投标人进行资格审查后，应当对符合或不符合资格条件的投标人作出详细的书面记录，并作为评标报告的组成内容。</w:t>
      </w:r>
    </w:p>
    <w:p w14:paraId="2D2F4FAE">
      <w:pPr>
        <w:pStyle w:val="3"/>
        <w:spacing w:line="336" w:lineRule="auto"/>
        <w:rPr>
          <w:rFonts w:hint="eastAsia" w:ascii="宋体" w:hAnsi="宋体" w:eastAsia="宋体" w:cs="宋体"/>
          <w:sz w:val="30"/>
          <w:szCs w:val="30"/>
        </w:rPr>
      </w:pPr>
      <w:bookmarkStart w:id="278" w:name="_Toc28464"/>
      <w:bookmarkStart w:id="279" w:name="_Toc6876"/>
      <w:bookmarkStart w:id="280" w:name="_Toc11210"/>
      <w:bookmarkStart w:id="281" w:name="_Toc21125"/>
      <w:bookmarkStart w:id="282" w:name="_Toc771"/>
      <w:bookmarkStart w:id="283" w:name="_Toc14336"/>
      <w:bookmarkStart w:id="284" w:name="_Toc21297"/>
      <w:bookmarkStart w:id="285" w:name="_Toc4362"/>
      <w:bookmarkStart w:id="286" w:name="_Toc16126"/>
      <w:bookmarkStart w:id="287" w:name="_Toc12326"/>
      <w:bookmarkStart w:id="288" w:name="_Toc4109"/>
      <w:bookmarkStart w:id="289" w:name="_Toc13242"/>
      <w:bookmarkStart w:id="290" w:name="_Toc11881"/>
      <w:bookmarkStart w:id="291" w:name="_Toc5015"/>
      <w:bookmarkStart w:id="292" w:name="_Toc6076"/>
      <w:r>
        <w:rPr>
          <w:rFonts w:hint="eastAsia" w:ascii="宋体" w:hAnsi="宋体" w:eastAsia="宋体" w:cs="宋体"/>
          <w:sz w:val="30"/>
          <w:szCs w:val="30"/>
        </w:rPr>
        <w:t>6.初步评审</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0B109B42">
      <w:pPr>
        <w:spacing w:line="360" w:lineRule="auto"/>
        <w:ind w:firstLine="538"/>
        <w:rPr>
          <w:rFonts w:hint="eastAsia" w:ascii="宋体" w:hAnsi="宋体" w:cs="宋体"/>
        </w:rPr>
      </w:pPr>
      <w:r>
        <w:rPr>
          <w:rFonts w:hint="eastAsia" w:ascii="宋体" w:hAnsi="宋体" w:cs="宋体"/>
          <w:bCs/>
          <w:sz w:val="24"/>
        </w:rPr>
        <w:t>6.1初步评审，是指评标委员会根据招标项目的招标文件和《招标投标法》等相应法律法规的规定，对投标人的投标文件符合性鉴定，对投标文件是否实质上投标人招标文件的要求进行确认。审查其投标文件是否实质上投标人招标文件的要求。</w:t>
      </w:r>
    </w:p>
    <w:p w14:paraId="1720ECAD">
      <w:pPr>
        <w:spacing w:line="360" w:lineRule="auto"/>
        <w:ind w:firstLine="538"/>
        <w:rPr>
          <w:rFonts w:hint="eastAsia" w:ascii="宋体" w:hAnsi="宋体" w:cs="宋体"/>
          <w:sz w:val="24"/>
        </w:rPr>
      </w:pPr>
      <w:r>
        <w:rPr>
          <w:rFonts w:hint="eastAsia" w:ascii="宋体" w:hAnsi="宋体" w:cs="宋体"/>
          <w:sz w:val="24"/>
        </w:rPr>
        <w:t>6.2对投标文件的实质性内容按下述条件进行初步审查，判定其是否满足招标文件要求。</w:t>
      </w:r>
    </w:p>
    <w:p w14:paraId="65245714">
      <w:pPr>
        <w:spacing w:line="360" w:lineRule="auto"/>
        <w:ind w:firstLine="480" w:firstLineChars="200"/>
        <w:rPr>
          <w:rFonts w:hint="eastAsia" w:ascii="宋体" w:hAnsi="宋体" w:cs="宋体"/>
          <w:sz w:val="24"/>
        </w:rPr>
      </w:pPr>
      <w:r>
        <w:rPr>
          <w:rFonts w:hint="eastAsia" w:ascii="宋体" w:hAnsi="宋体" w:cs="宋体"/>
          <w:sz w:val="24"/>
        </w:rPr>
        <w:t>6.3 只有投标文件通过初步审查的投标人才能继续参加评审。如果投标文件未通过初步审查，招标人不允许投标人通过修正和撤消其不符合要求的差异而使之成为符合要求的投标文件。</w:t>
      </w:r>
    </w:p>
    <w:p w14:paraId="3E2D76E1">
      <w:pPr>
        <w:spacing w:line="360" w:lineRule="auto"/>
        <w:ind w:firstLine="480" w:firstLineChars="200"/>
        <w:rPr>
          <w:rFonts w:hint="eastAsia" w:ascii="宋体" w:hAnsi="宋体" w:cs="宋体"/>
          <w:sz w:val="24"/>
        </w:rPr>
      </w:pPr>
      <w:r>
        <w:rPr>
          <w:rFonts w:hint="eastAsia" w:ascii="宋体" w:hAnsi="宋体" w:cs="宋体"/>
          <w:sz w:val="24"/>
        </w:rPr>
        <w:t>6.4 为了有助于投标文件的审查、评价和比较，评标委员会可以书面方式要求投标人对投标文件中含义不明确、对同类问题表述不一致或者有明显文字和计算错误的内容作必要的澄清、说明或者补正。澄清、说明或者补正应以书面方式进行并不得超出投标文件的范围或者改变投标文件的实质性内容。但是按照本办法校核时发现的算术错误不在此列。</w:t>
      </w:r>
    </w:p>
    <w:p w14:paraId="71365CB1">
      <w:pPr>
        <w:spacing w:line="360" w:lineRule="auto"/>
        <w:rPr>
          <w:rFonts w:hint="eastAsia" w:ascii="宋体" w:hAnsi="宋体" w:cs="宋体"/>
          <w:sz w:val="24"/>
        </w:rPr>
      </w:pPr>
      <w:r>
        <w:rPr>
          <w:rFonts w:hint="eastAsia" w:ascii="宋体" w:hAnsi="宋体" w:cs="宋体"/>
          <w:b/>
          <w:bCs/>
          <w:sz w:val="28"/>
          <w:szCs w:val="28"/>
        </w:rPr>
        <w:t>7.</w:t>
      </w:r>
      <w:r>
        <w:rPr>
          <w:rFonts w:hint="eastAsia" w:ascii="宋体" w:hAnsi="宋体" w:cs="宋体"/>
          <w:b/>
          <w:bCs/>
          <w:sz w:val="24"/>
          <w:szCs w:val="32"/>
        </w:rPr>
        <w:t xml:space="preserve"> </w:t>
      </w:r>
      <w:r>
        <w:rPr>
          <w:rFonts w:hint="eastAsia" w:ascii="宋体" w:hAnsi="宋体" w:cs="宋体"/>
          <w:sz w:val="24"/>
        </w:rPr>
        <w:t xml:space="preserve">细微偏差是指投标文件在实质上投标人招标文件要求，但在个别地方存在漏项或者提供了不完整的技术信息和数据等情况，并且补正这些遗漏或者不完整不会对其他投标人造成不公平的结果。细微偏差不影响投标文件的有效性。 </w:t>
      </w:r>
    </w:p>
    <w:p w14:paraId="4D8EF307">
      <w:pPr>
        <w:spacing w:line="360" w:lineRule="auto"/>
        <w:rPr>
          <w:rFonts w:hint="eastAsia" w:ascii="宋体" w:hAnsi="宋体" w:cs="宋体"/>
          <w:sz w:val="24"/>
        </w:rPr>
      </w:pPr>
      <w:r>
        <w:rPr>
          <w:rFonts w:hint="eastAsia" w:ascii="宋体" w:hAnsi="宋体" w:cs="宋体"/>
          <w:b/>
          <w:bCs/>
          <w:sz w:val="28"/>
          <w:szCs w:val="28"/>
        </w:rPr>
        <w:t>8</w:t>
      </w:r>
      <w:r>
        <w:rPr>
          <w:rFonts w:hint="eastAsia" w:ascii="宋体" w:hAnsi="宋体" w:cs="宋体"/>
          <w:b/>
          <w:bCs/>
          <w:sz w:val="24"/>
          <w:szCs w:val="32"/>
        </w:rPr>
        <w:t>.</w:t>
      </w:r>
      <w:r>
        <w:rPr>
          <w:rFonts w:hint="eastAsia" w:ascii="宋体" w:hAnsi="宋体" w:cs="宋体"/>
          <w:sz w:val="24"/>
        </w:rPr>
        <w:t>在详细评审过程中如果发现投标人的投标文件中存在有细微偏差，评标委员会书面要求存在细微偏差的投标人在评标结束前予以补正。拒不补正的，按废标处理。</w:t>
      </w:r>
    </w:p>
    <w:p w14:paraId="000E2FC9">
      <w:pPr>
        <w:adjustRightInd w:val="0"/>
        <w:snapToGrid w:val="0"/>
        <w:spacing w:line="360" w:lineRule="auto"/>
        <w:rPr>
          <w:rFonts w:hint="eastAsia" w:ascii="宋体" w:hAnsi="宋体" w:cs="宋体"/>
          <w:b/>
          <w:bCs/>
          <w:sz w:val="24"/>
          <w:szCs w:val="32"/>
        </w:rPr>
      </w:pPr>
      <w:r>
        <w:rPr>
          <w:rFonts w:hint="eastAsia" w:ascii="宋体" w:hAnsi="宋体" w:cs="宋体"/>
          <w:b/>
          <w:bCs/>
          <w:sz w:val="28"/>
          <w:szCs w:val="28"/>
        </w:rPr>
        <w:t>9.</w:t>
      </w:r>
      <w:r>
        <w:rPr>
          <w:rFonts w:hint="eastAsia" w:ascii="宋体" w:hAnsi="宋体" w:cs="宋体"/>
          <w:b/>
          <w:bCs/>
          <w:sz w:val="24"/>
          <w:szCs w:val="32"/>
        </w:rPr>
        <w:t>详细评审</w:t>
      </w:r>
    </w:p>
    <w:p w14:paraId="3B4BD623">
      <w:pPr>
        <w:pStyle w:val="55"/>
        <w:widowControl/>
        <w:autoSpaceDN w:val="0"/>
        <w:ind w:firstLine="480"/>
        <w:rPr>
          <w:rFonts w:hint="eastAsia" w:ascii="宋体" w:hAnsi="宋体" w:cs="宋体"/>
        </w:rPr>
      </w:pPr>
      <w:r>
        <w:rPr>
          <w:rFonts w:hint="eastAsia" w:ascii="宋体" w:hAnsi="宋体" w:cs="宋体"/>
        </w:rPr>
        <w:t>本项目采用综合评分方法，总分为100分，按照评审方法和标准分别对通过资格审查和初步评审的投标单位进行评分，计算出每一投标单位的总分。总分=</w:t>
      </w:r>
      <w:r>
        <w:rPr>
          <w:rStyle w:val="46"/>
          <w:rFonts w:hint="eastAsia" w:ascii="宋体" w:hAnsi="宋体" w:cs="宋体"/>
          <w:b w:val="0"/>
        </w:rPr>
        <w:t>商务评分</w:t>
      </w:r>
      <w:r>
        <w:rPr>
          <w:rFonts w:hint="eastAsia" w:ascii="宋体" w:hAnsi="宋体" w:cs="宋体"/>
        </w:rPr>
        <w:t>+资信评分+技术评分。</w:t>
      </w:r>
    </w:p>
    <w:p w14:paraId="6762C552">
      <w:pPr>
        <w:pStyle w:val="15"/>
        <w:rPr>
          <w:rFonts w:hint="eastAsia" w:ascii="宋体" w:hAnsi="宋体" w:eastAsia="宋体" w:cs="宋体"/>
        </w:rPr>
      </w:pPr>
    </w:p>
    <w:p w14:paraId="5338C2A4">
      <w:pPr>
        <w:rPr>
          <w:rFonts w:hint="eastAsia" w:ascii="宋体" w:hAnsi="宋体" w:cs="宋体"/>
          <w:sz w:val="24"/>
        </w:rPr>
      </w:pPr>
      <w:r>
        <w:rPr>
          <w:rFonts w:hint="eastAsia" w:ascii="宋体" w:hAnsi="宋体" w:cs="宋体"/>
          <w:sz w:val="24"/>
        </w:rPr>
        <w:br w:type="page"/>
      </w:r>
    </w:p>
    <w:tbl>
      <w:tblPr>
        <w:tblStyle w:val="4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280"/>
        <w:gridCol w:w="6206"/>
        <w:gridCol w:w="699"/>
      </w:tblGrid>
      <w:tr w14:paraId="18D8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063" w:type="dxa"/>
            <w:gridSpan w:val="3"/>
            <w:tcBorders>
              <w:top w:val="single" w:color="auto" w:sz="4" w:space="0"/>
              <w:left w:val="single" w:color="auto" w:sz="4" w:space="0"/>
              <w:bottom w:val="single" w:color="auto" w:sz="4" w:space="0"/>
              <w:right w:val="single" w:color="auto" w:sz="4" w:space="0"/>
            </w:tcBorders>
            <w:vAlign w:val="center"/>
          </w:tcPr>
          <w:p w14:paraId="438FDDFA">
            <w:pPr>
              <w:pStyle w:val="92"/>
              <w:spacing w:line="360" w:lineRule="auto"/>
              <w:ind w:firstLine="0"/>
              <w:jc w:val="center"/>
              <w:rPr>
                <w:rFonts w:hint="eastAsia" w:ascii="宋体" w:hAnsi="宋体" w:cs="宋体"/>
                <w:sz w:val="24"/>
              </w:rPr>
            </w:pPr>
            <w:r>
              <w:rPr>
                <w:rStyle w:val="46"/>
                <w:rFonts w:hint="eastAsia" w:ascii="宋体" w:hAnsi="宋体" w:cs="宋体"/>
                <w:b w:val="0"/>
                <w:sz w:val="24"/>
              </w:rPr>
              <w:t>第一部分 商务评分（满分30分）</w:t>
            </w:r>
          </w:p>
        </w:tc>
        <w:tc>
          <w:tcPr>
            <w:tcW w:w="699" w:type="dxa"/>
            <w:tcBorders>
              <w:top w:val="single" w:color="auto" w:sz="4" w:space="0"/>
              <w:left w:val="nil"/>
              <w:bottom w:val="single" w:color="auto" w:sz="4" w:space="0"/>
              <w:right w:val="single" w:color="auto" w:sz="4" w:space="0"/>
            </w:tcBorders>
            <w:vAlign w:val="center"/>
          </w:tcPr>
          <w:p w14:paraId="014395D8">
            <w:pPr>
              <w:pStyle w:val="92"/>
              <w:spacing w:line="360" w:lineRule="auto"/>
              <w:ind w:firstLine="0"/>
              <w:rPr>
                <w:rFonts w:hint="eastAsia" w:ascii="宋体" w:hAnsi="宋体" w:cs="宋体"/>
                <w:sz w:val="24"/>
              </w:rPr>
            </w:pPr>
            <w:r>
              <w:rPr>
                <w:rStyle w:val="46"/>
                <w:rFonts w:hint="eastAsia" w:ascii="宋体" w:hAnsi="宋体" w:cs="宋体"/>
                <w:b w:val="0"/>
                <w:sz w:val="24"/>
              </w:rPr>
              <w:t>分值</w:t>
            </w:r>
          </w:p>
        </w:tc>
      </w:tr>
      <w:tr w14:paraId="2556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3669DF25">
            <w:pPr>
              <w:pStyle w:val="92"/>
              <w:spacing w:line="360" w:lineRule="auto"/>
              <w:ind w:firstLine="0"/>
              <w:jc w:val="center"/>
              <w:rPr>
                <w:rFonts w:hint="eastAsia" w:ascii="宋体" w:hAnsi="宋体" w:cs="宋体"/>
                <w:sz w:val="24"/>
              </w:rPr>
            </w:pPr>
            <w:r>
              <w:rPr>
                <w:rStyle w:val="46"/>
                <w:rFonts w:hint="eastAsia" w:ascii="宋体" w:hAnsi="宋体" w:cs="宋体"/>
                <w:b w:val="0"/>
                <w:sz w:val="24"/>
              </w:rPr>
              <w:t>1</w:t>
            </w:r>
          </w:p>
        </w:tc>
        <w:tc>
          <w:tcPr>
            <w:tcW w:w="1280" w:type="dxa"/>
            <w:tcBorders>
              <w:top w:val="single" w:color="auto" w:sz="4" w:space="0"/>
              <w:left w:val="single" w:color="auto" w:sz="4" w:space="0"/>
              <w:bottom w:val="single" w:color="auto" w:sz="4" w:space="0"/>
              <w:right w:val="single" w:color="auto" w:sz="4" w:space="0"/>
            </w:tcBorders>
            <w:vAlign w:val="center"/>
          </w:tcPr>
          <w:p w14:paraId="16A25510">
            <w:pPr>
              <w:pStyle w:val="92"/>
              <w:spacing w:line="360" w:lineRule="auto"/>
              <w:ind w:firstLine="0"/>
              <w:jc w:val="center"/>
              <w:rPr>
                <w:rFonts w:hint="eastAsia" w:ascii="宋体" w:hAnsi="宋体" w:cs="宋体"/>
                <w:sz w:val="24"/>
              </w:rPr>
            </w:pPr>
            <w:r>
              <w:rPr>
                <w:rFonts w:hint="eastAsia" w:ascii="宋体" w:hAnsi="宋体" w:eastAsia="宋体" w:cs="宋体"/>
                <w:color w:val="auto"/>
                <w:kern w:val="2"/>
                <w:sz w:val="21"/>
                <w:szCs w:val="21"/>
                <w:highlight w:val="none"/>
                <w:lang w:val="en-US" w:eastAsia="zh-CN" w:bidi="ar-SA"/>
              </w:rPr>
              <w:t>价格</w:t>
            </w:r>
          </w:p>
        </w:tc>
        <w:tc>
          <w:tcPr>
            <w:tcW w:w="6206" w:type="dxa"/>
            <w:tcBorders>
              <w:top w:val="single" w:color="auto" w:sz="4" w:space="0"/>
              <w:left w:val="single" w:color="auto" w:sz="4" w:space="0"/>
              <w:bottom w:val="single" w:color="auto" w:sz="4" w:space="0"/>
              <w:right w:val="single" w:color="auto" w:sz="4" w:space="0"/>
            </w:tcBorders>
            <w:vAlign w:val="center"/>
          </w:tcPr>
          <w:p w14:paraId="6CA61509">
            <w:pPr>
              <w:pStyle w:val="92"/>
              <w:spacing w:line="360" w:lineRule="auto"/>
              <w:ind w:firstLine="0"/>
              <w:rPr>
                <w:rFonts w:hint="eastAsia" w:ascii="宋体" w:hAnsi="宋体" w:cs="宋体"/>
                <w:sz w:val="24"/>
              </w:rPr>
            </w:pPr>
            <w:r>
              <w:rPr>
                <w:rFonts w:hint="eastAsia" w:ascii="宋体" w:hAnsi="宋体" w:cs="宋体"/>
                <w:kern w:val="0"/>
                <w:szCs w:val="21"/>
                <w:lang w:bidi="ar"/>
              </w:rPr>
              <w:t>1) 投标人的有效投标报价为评标基准价时，得最高分30分。</w:t>
            </w:r>
            <w:r>
              <w:rPr>
                <w:rFonts w:hint="eastAsia" w:ascii="宋体" w:hAnsi="宋体" w:cs="宋体"/>
                <w:kern w:val="0"/>
                <w:szCs w:val="21"/>
                <w:lang w:bidi="ar"/>
              </w:rPr>
              <w:br w:type="textWrapping"/>
            </w:r>
            <w:r>
              <w:rPr>
                <w:rFonts w:hint="eastAsia" w:ascii="宋体" w:hAnsi="宋体" w:cs="宋体"/>
                <w:kern w:val="0"/>
                <w:szCs w:val="21"/>
                <w:lang w:bidi="ar"/>
              </w:rPr>
              <w:t>2) 投标报价每高于评标基准价1%减1分，每低于评标基准价1%减1分，减满为止。中间按插值法计算。商务标得分保留小数点后两位。评标基准价的计算：</w:t>
            </w:r>
            <w:r>
              <w:rPr>
                <w:rFonts w:hint="eastAsia" w:ascii="宋体" w:hAnsi="宋体" w:cs="宋体"/>
                <w:kern w:val="0"/>
                <w:szCs w:val="21"/>
                <w:lang w:bidi="ar"/>
              </w:rPr>
              <w:br w:type="textWrapping"/>
            </w:r>
            <w:r>
              <w:rPr>
                <w:rFonts w:hint="eastAsia" w:ascii="宋体" w:hAnsi="宋体" w:cs="宋体"/>
                <w:kern w:val="0"/>
                <w:szCs w:val="21"/>
                <w:lang w:bidi="ar"/>
              </w:rPr>
              <w:t>评标基准价=满足招标文件要求的所有投标单位的有效投标报价的算术平均数。（保留2位小数）</w:t>
            </w:r>
          </w:p>
        </w:tc>
        <w:tc>
          <w:tcPr>
            <w:tcW w:w="699" w:type="dxa"/>
            <w:tcBorders>
              <w:top w:val="single" w:color="auto" w:sz="4" w:space="0"/>
              <w:left w:val="nil"/>
              <w:bottom w:val="single" w:color="auto" w:sz="4" w:space="0"/>
              <w:right w:val="single" w:color="auto" w:sz="4" w:space="0"/>
            </w:tcBorders>
            <w:vAlign w:val="center"/>
          </w:tcPr>
          <w:p w14:paraId="3A81EC63">
            <w:pPr>
              <w:pStyle w:val="92"/>
              <w:spacing w:line="360" w:lineRule="auto"/>
              <w:ind w:firstLine="0"/>
              <w:jc w:val="center"/>
              <w:rPr>
                <w:rFonts w:hint="eastAsia" w:ascii="宋体" w:hAnsi="宋体" w:cs="宋体"/>
                <w:sz w:val="24"/>
              </w:rPr>
            </w:pPr>
            <w:r>
              <w:rPr>
                <w:rStyle w:val="46"/>
                <w:rFonts w:hint="eastAsia" w:ascii="宋体" w:hAnsi="宋体" w:cs="宋体"/>
                <w:b w:val="0"/>
                <w:sz w:val="24"/>
              </w:rPr>
              <w:t>0-30</w:t>
            </w:r>
          </w:p>
        </w:tc>
      </w:tr>
      <w:tr w14:paraId="3906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3" w:type="dxa"/>
            <w:gridSpan w:val="3"/>
            <w:tcBorders>
              <w:top w:val="single" w:color="auto" w:sz="4" w:space="0"/>
              <w:left w:val="single" w:color="auto" w:sz="4" w:space="0"/>
              <w:bottom w:val="single" w:color="auto" w:sz="4" w:space="0"/>
              <w:right w:val="single" w:color="auto" w:sz="4" w:space="0"/>
            </w:tcBorders>
            <w:vAlign w:val="center"/>
          </w:tcPr>
          <w:p w14:paraId="7D61A74D">
            <w:pPr>
              <w:snapToGrid w:val="0"/>
              <w:spacing w:line="360" w:lineRule="auto"/>
              <w:jc w:val="center"/>
              <w:rPr>
                <w:rFonts w:hint="eastAsia" w:ascii="宋体" w:hAnsi="宋体" w:cs="宋体"/>
                <w:sz w:val="24"/>
              </w:rPr>
            </w:pPr>
            <w:r>
              <w:rPr>
                <w:rFonts w:hint="eastAsia" w:ascii="宋体" w:hAnsi="宋体" w:cs="宋体"/>
                <w:sz w:val="24"/>
              </w:rPr>
              <w:t>第二部分  资信评分（10分）</w:t>
            </w:r>
          </w:p>
        </w:tc>
        <w:tc>
          <w:tcPr>
            <w:tcW w:w="699" w:type="dxa"/>
            <w:tcBorders>
              <w:top w:val="single" w:color="auto" w:sz="4" w:space="0"/>
              <w:left w:val="nil"/>
              <w:bottom w:val="single" w:color="auto" w:sz="4" w:space="0"/>
              <w:right w:val="single" w:color="auto" w:sz="4" w:space="0"/>
            </w:tcBorders>
            <w:vAlign w:val="center"/>
          </w:tcPr>
          <w:p w14:paraId="265C2BBC">
            <w:pPr>
              <w:snapToGrid w:val="0"/>
              <w:spacing w:line="360" w:lineRule="auto"/>
              <w:jc w:val="center"/>
              <w:rPr>
                <w:rFonts w:hint="eastAsia" w:ascii="宋体" w:hAnsi="宋体" w:cs="宋体"/>
                <w:sz w:val="24"/>
              </w:rPr>
            </w:pPr>
            <w:r>
              <w:rPr>
                <w:rFonts w:hint="eastAsia" w:ascii="宋体" w:hAnsi="宋体" w:cs="宋体"/>
                <w:sz w:val="24"/>
              </w:rPr>
              <w:t>分值</w:t>
            </w:r>
          </w:p>
        </w:tc>
      </w:tr>
      <w:tr w14:paraId="17E1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4E6A47DA">
            <w:pPr>
              <w:snapToGrid w:val="0"/>
              <w:spacing w:line="360" w:lineRule="auto"/>
              <w:jc w:val="center"/>
              <w:rPr>
                <w:rFonts w:hint="eastAsia" w:ascii="宋体" w:hAnsi="宋体" w:cs="宋体"/>
                <w:sz w:val="24"/>
                <w:highlight w:val="none"/>
              </w:rPr>
            </w:pPr>
            <w:r>
              <w:rPr>
                <w:rFonts w:hint="eastAsia" w:ascii="宋体" w:hAnsi="宋体" w:cs="宋体"/>
                <w:sz w:val="24"/>
                <w:highlight w:val="none"/>
              </w:rPr>
              <w:t>1</w:t>
            </w:r>
          </w:p>
        </w:tc>
        <w:tc>
          <w:tcPr>
            <w:tcW w:w="1280" w:type="dxa"/>
            <w:tcBorders>
              <w:top w:val="single" w:color="auto" w:sz="4" w:space="0"/>
              <w:left w:val="nil"/>
              <w:bottom w:val="single" w:color="auto" w:sz="4" w:space="0"/>
              <w:right w:val="single" w:color="auto" w:sz="4" w:space="0"/>
            </w:tcBorders>
            <w:vAlign w:val="center"/>
          </w:tcPr>
          <w:p w14:paraId="5E535DD2">
            <w:pPr>
              <w:snapToGrid w:val="0"/>
              <w:spacing w:line="360" w:lineRule="auto"/>
              <w:jc w:val="center"/>
              <w:rPr>
                <w:rFonts w:hint="eastAsia" w:ascii="宋体" w:hAnsi="宋体" w:cs="宋体"/>
                <w:sz w:val="24"/>
                <w:highlight w:val="none"/>
              </w:rPr>
            </w:pPr>
            <w:r>
              <w:rPr>
                <w:rFonts w:hint="eastAsia" w:ascii="宋体" w:hAnsi="宋体" w:eastAsia="宋体" w:cs="宋体"/>
                <w:color w:val="auto"/>
                <w:sz w:val="21"/>
                <w:szCs w:val="21"/>
                <w:highlight w:val="none"/>
                <w:lang w:eastAsia="zh-CN"/>
              </w:rPr>
              <w:t>业绩</w:t>
            </w:r>
          </w:p>
        </w:tc>
        <w:tc>
          <w:tcPr>
            <w:tcW w:w="6206" w:type="dxa"/>
            <w:tcBorders>
              <w:top w:val="single" w:color="auto" w:sz="4" w:space="0"/>
              <w:left w:val="nil"/>
              <w:bottom w:val="single" w:color="auto" w:sz="4" w:space="0"/>
              <w:right w:val="single" w:color="auto" w:sz="4" w:space="0"/>
            </w:tcBorders>
            <w:vAlign w:val="center"/>
          </w:tcPr>
          <w:p w14:paraId="3F432325">
            <w:pPr>
              <w:pStyle w:val="92"/>
              <w:spacing w:line="360" w:lineRule="auto"/>
              <w:ind w:firstLine="0"/>
              <w:rPr>
                <w:rStyle w:val="46"/>
                <w:rFonts w:hint="eastAsia" w:ascii="宋体" w:hAnsi="宋体" w:cs="宋体"/>
                <w:b w:val="0"/>
                <w:szCs w:val="21"/>
                <w:highlight w:val="none"/>
              </w:rPr>
            </w:pPr>
            <w:r>
              <w:rPr>
                <w:rStyle w:val="46"/>
                <w:rFonts w:hint="eastAsia" w:ascii="宋体" w:hAnsi="宋体" w:cs="宋体"/>
                <w:b w:val="0"/>
                <w:szCs w:val="21"/>
                <w:highlight w:val="none"/>
              </w:rPr>
              <w:t xml:space="preserve">投标单位承担过 </w:t>
            </w:r>
            <w:r>
              <w:rPr>
                <w:rStyle w:val="46"/>
                <w:rFonts w:hint="eastAsia" w:cs="宋体" w:asciiTheme="minorEastAsia" w:hAnsiTheme="minorEastAsia" w:eastAsiaTheme="minorEastAsia"/>
                <w:b w:val="0"/>
                <w:szCs w:val="21"/>
                <w:highlight w:val="none"/>
              </w:rPr>
              <w:t>202</w:t>
            </w:r>
            <w:r>
              <w:rPr>
                <w:rStyle w:val="46"/>
                <w:rFonts w:hint="eastAsia" w:asciiTheme="minorEastAsia" w:hAnsiTheme="minorEastAsia" w:eastAsiaTheme="minorEastAsia"/>
                <w:szCs w:val="21"/>
                <w:highlight w:val="none"/>
              </w:rPr>
              <w:t>2</w:t>
            </w:r>
            <w:r>
              <w:rPr>
                <w:rStyle w:val="46"/>
                <w:rFonts w:hint="eastAsia" w:ascii="宋体" w:hAnsi="宋体" w:cs="宋体"/>
                <w:b w:val="0"/>
                <w:szCs w:val="21"/>
                <w:highlight w:val="none"/>
              </w:rPr>
              <w:t>年至今与本项目同类的项目业绩。按照以下要求提供证明材料：均不得遮挡涂黑，否则不予认定加分。（以签订合同时间为准，提供一个案例计</w:t>
            </w:r>
            <w:r>
              <w:rPr>
                <w:rStyle w:val="46"/>
                <w:rFonts w:hint="eastAsia" w:cs="宋体" w:asciiTheme="minorEastAsia" w:hAnsiTheme="minorEastAsia" w:eastAsiaTheme="minorEastAsia"/>
                <w:b w:val="0"/>
                <w:szCs w:val="21"/>
                <w:highlight w:val="none"/>
              </w:rPr>
              <w:t>2</w:t>
            </w:r>
            <w:r>
              <w:rPr>
                <w:rStyle w:val="46"/>
                <w:rFonts w:hint="eastAsia" w:ascii="宋体" w:hAnsi="宋体" w:cs="宋体"/>
                <w:b w:val="0"/>
                <w:szCs w:val="21"/>
                <w:highlight w:val="none"/>
              </w:rPr>
              <w:t xml:space="preserve"> 分，最多</w:t>
            </w:r>
            <w:r>
              <w:rPr>
                <w:rStyle w:val="46"/>
                <w:rFonts w:hint="eastAsia" w:ascii="宋体" w:hAnsi="宋体" w:cs="宋体"/>
                <w:b w:val="0"/>
                <w:szCs w:val="21"/>
                <w:highlight w:val="none"/>
                <w:lang w:val="en-US" w:eastAsia="zh-CN"/>
              </w:rPr>
              <w:t>6</w:t>
            </w:r>
            <w:r>
              <w:rPr>
                <w:rStyle w:val="46"/>
                <w:rFonts w:hint="eastAsia" w:ascii="宋体" w:hAnsi="宋体" w:cs="宋体"/>
                <w:b w:val="0"/>
                <w:szCs w:val="21"/>
                <w:highlight w:val="none"/>
              </w:rPr>
              <w:t xml:space="preserve">分） </w:t>
            </w:r>
          </w:p>
          <w:p w14:paraId="0DA824D3">
            <w:pPr>
              <w:pStyle w:val="92"/>
              <w:spacing w:line="360" w:lineRule="auto"/>
              <w:ind w:firstLine="0"/>
              <w:rPr>
                <w:rStyle w:val="46"/>
                <w:rFonts w:hint="eastAsia" w:ascii="宋体" w:hAnsi="宋体" w:cs="宋体"/>
                <w:b w:val="0"/>
                <w:szCs w:val="21"/>
                <w:highlight w:val="none"/>
              </w:rPr>
            </w:pPr>
            <w:r>
              <w:rPr>
                <w:rStyle w:val="46"/>
                <w:rFonts w:hint="eastAsia" w:ascii="宋体" w:hAnsi="宋体" w:cs="宋体"/>
                <w:b w:val="0"/>
                <w:szCs w:val="21"/>
                <w:highlight w:val="none"/>
              </w:rPr>
              <w:t>需提供合同复印件，包括合同金额、买卖双方名称及盖章</w:t>
            </w:r>
          </w:p>
          <w:p w14:paraId="06997917">
            <w:pPr>
              <w:autoSpaceDE w:val="0"/>
              <w:autoSpaceDN w:val="0"/>
              <w:adjustRightInd w:val="0"/>
              <w:snapToGrid w:val="0"/>
              <w:spacing w:line="360" w:lineRule="auto"/>
              <w:rPr>
                <w:rFonts w:hint="eastAsia" w:ascii="宋体" w:hAnsi="宋体" w:cs="宋体"/>
                <w:szCs w:val="21"/>
                <w:highlight w:val="none"/>
              </w:rPr>
            </w:pPr>
            <w:r>
              <w:rPr>
                <w:rFonts w:hint="eastAsia" w:ascii="宋体" w:hAnsi="宋体" w:cs="宋体"/>
                <w:szCs w:val="21"/>
                <w:highlight w:val="none"/>
              </w:rPr>
              <w:t>注：以上需提供的证明材料均不得遮挡涂黑，否则不予认定加分。</w:t>
            </w:r>
          </w:p>
        </w:tc>
        <w:tc>
          <w:tcPr>
            <w:tcW w:w="699" w:type="dxa"/>
            <w:tcBorders>
              <w:top w:val="single" w:color="auto" w:sz="4" w:space="0"/>
              <w:left w:val="nil"/>
              <w:bottom w:val="single" w:color="auto" w:sz="4" w:space="0"/>
              <w:right w:val="single" w:color="auto" w:sz="4" w:space="0"/>
            </w:tcBorders>
            <w:vAlign w:val="center"/>
          </w:tcPr>
          <w:p w14:paraId="48C710F1">
            <w:pPr>
              <w:snapToGrid w:val="0"/>
              <w:spacing w:line="360" w:lineRule="auto"/>
              <w:jc w:val="center"/>
              <w:rPr>
                <w:rFonts w:hint="eastAsia" w:ascii="宋体" w:hAnsi="宋体" w:eastAsia="宋体" w:cs="宋体"/>
                <w:sz w:val="24"/>
                <w:highlight w:val="none"/>
                <w:lang w:eastAsia="zh-CN"/>
              </w:rPr>
            </w:pPr>
            <w:r>
              <w:rPr>
                <w:rFonts w:hint="eastAsia" w:ascii="宋体" w:hAnsi="宋体" w:cs="宋体"/>
                <w:sz w:val="24"/>
                <w:highlight w:val="none"/>
              </w:rPr>
              <w:t>0-</w:t>
            </w:r>
            <w:r>
              <w:rPr>
                <w:rFonts w:hint="eastAsia" w:ascii="宋体" w:hAnsi="宋体" w:cs="宋体"/>
                <w:sz w:val="24"/>
                <w:highlight w:val="none"/>
                <w:lang w:val="en-US" w:eastAsia="zh-CN"/>
              </w:rPr>
              <w:t>6</w:t>
            </w:r>
          </w:p>
        </w:tc>
      </w:tr>
      <w:tr w14:paraId="16FD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4A94458B">
            <w:pPr>
              <w:spacing w:line="360" w:lineRule="auto"/>
              <w:jc w:val="center"/>
              <w:rPr>
                <w:rFonts w:hint="eastAsia" w:ascii="宋体" w:hAnsi="宋体" w:cs="宋体"/>
                <w:sz w:val="24"/>
                <w:highlight w:val="none"/>
              </w:rPr>
            </w:pPr>
            <w:r>
              <w:rPr>
                <w:rFonts w:hint="eastAsia" w:ascii="宋体" w:hAnsi="宋体" w:cs="宋体"/>
                <w:sz w:val="24"/>
                <w:highlight w:val="none"/>
              </w:rPr>
              <w:t>2</w:t>
            </w:r>
          </w:p>
        </w:tc>
        <w:tc>
          <w:tcPr>
            <w:tcW w:w="1280" w:type="dxa"/>
            <w:tcBorders>
              <w:top w:val="single" w:color="auto" w:sz="4" w:space="0"/>
              <w:left w:val="nil"/>
              <w:bottom w:val="single" w:color="auto" w:sz="4" w:space="0"/>
              <w:right w:val="single" w:color="auto" w:sz="4" w:space="0"/>
            </w:tcBorders>
            <w:vAlign w:val="center"/>
          </w:tcPr>
          <w:p w14:paraId="353CCEFF">
            <w:pPr>
              <w:keepNext w:val="0"/>
              <w:keepLines w:val="0"/>
              <w:pageBreakBefore w:val="0"/>
              <w:widowControl/>
              <w:shd w:val="clear"/>
              <w:kinsoku/>
              <w:wordWrap/>
              <w:overflowPunct/>
              <w:topLinePunct w:val="0"/>
              <w:bidi w:val="0"/>
              <w:snapToGrid/>
              <w:spacing w:before="0" w:after="0" w:line="360" w:lineRule="auto"/>
              <w:jc w:val="center"/>
              <w:textAlignment w:val="center"/>
              <w:rPr>
                <w:rFonts w:hint="eastAsia" w:ascii="宋体" w:hAnsi="宋体" w:cs="宋体"/>
                <w:sz w:val="24"/>
                <w:highlight w:val="yellow"/>
              </w:rPr>
            </w:pPr>
            <w:r>
              <w:rPr>
                <w:rFonts w:hint="default" w:ascii="宋体" w:hAnsi="宋体" w:eastAsia="宋体" w:cs="宋体"/>
                <w:color w:val="auto"/>
                <w:sz w:val="21"/>
                <w:szCs w:val="21"/>
                <w:highlight w:val="none"/>
                <w:lang w:eastAsia="zh-CN"/>
              </w:rPr>
              <w:t>项目负责人资历</w:t>
            </w:r>
          </w:p>
        </w:tc>
        <w:tc>
          <w:tcPr>
            <w:tcW w:w="6206" w:type="dxa"/>
            <w:tcBorders>
              <w:top w:val="single" w:color="auto" w:sz="4" w:space="0"/>
              <w:left w:val="nil"/>
              <w:bottom w:val="single" w:color="auto" w:sz="4" w:space="0"/>
              <w:right w:val="single" w:color="auto" w:sz="4" w:space="0"/>
            </w:tcBorders>
            <w:vAlign w:val="center"/>
          </w:tcPr>
          <w:p w14:paraId="1FBD0F60">
            <w:pPr>
              <w:keepNext w:val="0"/>
              <w:keepLines w:val="0"/>
              <w:pageBreakBefore w:val="0"/>
              <w:widowControl w:val="0"/>
              <w:shd w:val="clear"/>
              <w:tabs>
                <w:tab w:val="left" w:pos="945"/>
                <w:tab w:val="left" w:pos="1155"/>
              </w:tabs>
              <w:kinsoku/>
              <w:wordWrap/>
              <w:overflowPunct/>
              <w:topLinePunct w:val="0"/>
              <w:autoSpaceDE/>
              <w:autoSpaceDN/>
              <w:bidi w:val="0"/>
              <w:adjustRightInd/>
              <w:snapToGrid/>
              <w:spacing w:before="0" w:after="0" w:line="360" w:lineRule="auto"/>
              <w:textAlignment w:val="auto"/>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（1）拟投入本项目的项目负责人具备中华人民共和国一级</w:t>
            </w:r>
            <w:r>
              <w:rPr>
                <w:rFonts w:hint="eastAsia" w:ascii="宋体" w:hAnsi="宋体" w:eastAsia="宋体" w:cs="宋体"/>
                <w:color w:val="auto"/>
                <w:sz w:val="21"/>
                <w:szCs w:val="21"/>
                <w:highlight w:val="none"/>
                <w:lang w:eastAsia="zh-CN"/>
              </w:rPr>
              <w:t>注册建造师</w:t>
            </w:r>
            <w:r>
              <w:rPr>
                <w:rFonts w:hint="default" w:ascii="宋体" w:hAnsi="宋体" w:eastAsia="宋体" w:cs="宋体"/>
                <w:color w:val="auto"/>
                <w:sz w:val="21"/>
                <w:szCs w:val="21"/>
                <w:highlight w:val="none"/>
              </w:rPr>
              <w:t>证书（</w:t>
            </w:r>
            <w:r>
              <w:rPr>
                <w:rFonts w:hint="eastAsia" w:ascii="宋体" w:hAnsi="宋体" w:eastAsia="宋体" w:cs="宋体"/>
                <w:color w:val="auto"/>
                <w:sz w:val="21"/>
                <w:szCs w:val="21"/>
                <w:highlight w:val="none"/>
                <w:lang w:eastAsia="zh-CN"/>
              </w:rPr>
              <w:t>建筑工程专业</w:t>
            </w:r>
            <w:r>
              <w:rPr>
                <w:rFonts w:hint="eastAsia" w:ascii="宋体" w:hAnsi="宋体" w:eastAsia="宋体" w:cs="宋体"/>
                <w:color w:val="auto"/>
                <w:sz w:val="21"/>
                <w:szCs w:val="21"/>
                <w:highlight w:val="none"/>
                <w:lang w:val="en-US" w:eastAsia="zh-CN"/>
              </w:rPr>
              <w:t>/机电工程专业</w:t>
            </w:r>
            <w:r>
              <w:rPr>
                <w:rFonts w:hint="default"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具备以上条件得</w:t>
            </w:r>
            <w:r>
              <w:rPr>
                <w:rFonts w:hint="eastAsia" w:ascii="宋体" w:hAnsi="宋体" w:eastAsia="宋体" w:cs="宋体"/>
                <w:color w:val="auto"/>
                <w:sz w:val="21"/>
                <w:szCs w:val="21"/>
                <w:highlight w:val="none"/>
                <w:lang w:val="en-US" w:eastAsia="zh-CN"/>
              </w:rPr>
              <w:t>2分</w:t>
            </w:r>
            <w:r>
              <w:rPr>
                <w:rFonts w:hint="default" w:ascii="宋体" w:hAnsi="宋体" w:eastAsia="宋体" w:cs="宋体"/>
                <w:color w:val="auto"/>
                <w:sz w:val="21"/>
                <w:szCs w:val="21"/>
                <w:highlight w:val="none"/>
              </w:rPr>
              <w:t>。</w:t>
            </w:r>
          </w:p>
          <w:p w14:paraId="1A94178D">
            <w:pPr>
              <w:keepNext w:val="0"/>
              <w:keepLines w:val="0"/>
              <w:pageBreakBefore w:val="0"/>
              <w:widowControl w:val="0"/>
              <w:shd w:val="clear"/>
              <w:tabs>
                <w:tab w:val="left" w:pos="945"/>
                <w:tab w:val="left" w:pos="1155"/>
              </w:tabs>
              <w:kinsoku/>
              <w:wordWrap/>
              <w:overflowPunct/>
              <w:topLinePunct w:val="0"/>
              <w:autoSpaceDE/>
              <w:autoSpaceDN/>
              <w:bidi w:val="0"/>
              <w:adjustRightInd/>
              <w:snapToGrid/>
              <w:spacing w:before="0" w:after="0" w:line="360" w:lineRule="auto"/>
              <w:textAlignment w:val="auto"/>
              <w:rPr>
                <w:rFonts w:hint="eastAsia" w:ascii="宋体" w:hAnsi="宋体" w:cs="宋体"/>
                <w:szCs w:val="21"/>
                <w:highlight w:val="yellow"/>
              </w:rPr>
            </w:pPr>
            <w:r>
              <w:rPr>
                <w:rFonts w:hint="default" w:ascii="宋体" w:hAnsi="宋体" w:eastAsia="宋体" w:cs="宋体"/>
                <w:color w:val="auto"/>
                <w:sz w:val="21"/>
                <w:szCs w:val="21"/>
                <w:highlight w:val="none"/>
              </w:rPr>
              <w:t>注：上述人员为本单位员工，须提供本人身份证、相关证书复印件和近三个月的社保证明或劳动合同。未提供或提供不齐全不得分。</w:t>
            </w:r>
            <w:r>
              <w:rPr>
                <w:rFonts w:hint="eastAsia" w:ascii="宋体" w:hAnsi="宋体" w:eastAsia="宋体" w:cs="宋体"/>
                <w:color w:val="auto"/>
                <w:sz w:val="21"/>
                <w:szCs w:val="21"/>
                <w:highlight w:val="none"/>
                <w:lang w:eastAsia="zh-CN"/>
              </w:rPr>
              <w:t>具备条件</w:t>
            </w:r>
            <w:r>
              <w:rPr>
                <w:rFonts w:hint="default"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rPr>
              <w:t>分。</w:t>
            </w:r>
          </w:p>
        </w:tc>
        <w:tc>
          <w:tcPr>
            <w:tcW w:w="699" w:type="dxa"/>
            <w:tcBorders>
              <w:top w:val="single" w:color="auto" w:sz="4" w:space="0"/>
              <w:left w:val="nil"/>
              <w:bottom w:val="single" w:color="auto" w:sz="4" w:space="0"/>
              <w:right w:val="single" w:color="auto" w:sz="4" w:space="0"/>
            </w:tcBorders>
            <w:vAlign w:val="center"/>
          </w:tcPr>
          <w:p w14:paraId="4307A2CF">
            <w:pPr>
              <w:snapToGrid w:val="0"/>
              <w:spacing w:line="360" w:lineRule="auto"/>
              <w:jc w:val="center"/>
              <w:rPr>
                <w:rFonts w:hint="eastAsia" w:ascii="宋体" w:hAnsi="宋体" w:eastAsia="宋体" w:cs="宋体"/>
                <w:sz w:val="24"/>
                <w:highlight w:val="none"/>
                <w:lang w:eastAsia="zh-CN"/>
              </w:rPr>
            </w:pPr>
            <w:r>
              <w:rPr>
                <w:rFonts w:hint="eastAsia" w:ascii="宋体" w:hAnsi="宋体" w:cs="宋体"/>
                <w:sz w:val="24"/>
                <w:highlight w:val="none"/>
                <w:lang w:val="en-US" w:eastAsia="zh-CN"/>
              </w:rPr>
              <w:t>0-2</w:t>
            </w:r>
          </w:p>
        </w:tc>
      </w:tr>
      <w:tr w14:paraId="1A58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5DA1B5C6">
            <w:pPr>
              <w:spacing w:line="360" w:lineRule="auto"/>
              <w:jc w:val="center"/>
              <w:rPr>
                <w:rFonts w:hint="eastAsia" w:ascii="宋体" w:hAnsi="宋体" w:cs="宋体"/>
                <w:sz w:val="24"/>
                <w:highlight w:val="none"/>
              </w:rPr>
            </w:pPr>
            <w:r>
              <w:rPr>
                <w:rFonts w:hint="eastAsia" w:ascii="宋体" w:hAnsi="宋体" w:cs="宋体"/>
                <w:sz w:val="24"/>
                <w:highlight w:val="none"/>
              </w:rPr>
              <w:t>3</w:t>
            </w:r>
          </w:p>
        </w:tc>
        <w:tc>
          <w:tcPr>
            <w:tcW w:w="1280" w:type="dxa"/>
            <w:tcBorders>
              <w:top w:val="single" w:color="auto" w:sz="4" w:space="0"/>
              <w:left w:val="nil"/>
              <w:bottom w:val="single" w:color="auto" w:sz="4" w:space="0"/>
              <w:right w:val="single" w:color="auto" w:sz="4" w:space="0"/>
            </w:tcBorders>
            <w:vAlign w:val="center"/>
          </w:tcPr>
          <w:p w14:paraId="1FC7462C">
            <w:pPr>
              <w:keepNext w:val="0"/>
              <w:keepLines w:val="0"/>
              <w:pageBreakBefore w:val="0"/>
              <w:widowControl/>
              <w:shd w:val="clear"/>
              <w:kinsoku/>
              <w:wordWrap/>
              <w:overflowPunct/>
              <w:topLinePunct w:val="0"/>
              <w:bidi w:val="0"/>
              <w:snapToGrid/>
              <w:spacing w:before="0" w:after="0" w:line="360" w:lineRule="auto"/>
              <w:jc w:val="center"/>
              <w:textAlignment w:val="center"/>
              <w:rPr>
                <w:rFonts w:hint="eastAsia" w:ascii="宋体" w:hAnsi="宋体" w:cs="宋体"/>
                <w:sz w:val="24"/>
                <w:highlight w:val="yellow"/>
              </w:rPr>
            </w:pPr>
            <w:r>
              <w:rPr>
                <w:rFonts w:hint="default" w:ascii="宋体" w:hAnsi="宋体" w:eastAsia="宋体" w:cs="宋体"/>
                <w:color w:val="auto"/>
                <w:sz w:val="21"/>
                <w:szCs w:val="21"/>
                <w:highlight w:val="none"/>
                <w:lang w:eastAsia="zh-CN"/>
              </w:rPr>
              <w:t>其他主要人员资历</w:t>
            </w:r>
          </w:p>
        </w:tc>
        <w:tc>
          <w:tcPr>
            <w:tcW w:w="6206" w:type="dxa"/>
            <w:tcBorders>
              <w:top w:val="single" w:color="auto" w:sz="4" w:space="0"/>
              <w:left w:val="nil"/>
              <w:bottom w:val="single" w:color="auto" w:sz="4" w:space="0"/>
              <w:right w:val="single" w:color="auto" w:sz="4" w:space="0"/>
            </w:tcBorders>
            <w:vAlign w:val="center"/>
          </w:tcPr>
          <w:p w14:paraId="489B0F26">
            <w:pPr>
              <w:keepNext w:val="0"/>
              <w:keepLines w:val="0"/>
              <w:pageBreakBefore w:val="0"/>
              <w:widowControl w:val="0"/>
              <w:shd w:val="clear"/>
              <w:tabs>
                <w:tab w:val="left" w:pos="945"/>
                <w:tab w:val="left" w:pos="1155"/>
              </w:tabs>
              <w:kinsoku/>
              <w:wordWrap/>
              <w:overflowPunct/>
              <w:topLinePunct w:val="0"/>
              <w:autoSpaceDE/>
              <w:autoSpaceDN/>
              <w:bidi w:val="0"/>
              <w:adjustRightInd/>
              <w:snapToGrid/>
              <w:spacing w:before="0" w:after="0" w:line="360" w:lineRule="auto"/>
              <w:textAlignment w:val="auto"/>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除项目负责人外每多投入一名具有中华人民共和国一级注册建造师证书的人员（不限专业）得</w:t>
            </w: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rPr>
              <w:t>分，本项最高得</w:t>
            </w: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rPr>
              <w:t>分。</w:t>
            </w:r>
          </w:p>
          <w:p w14:paraId="15F02104">
            <w:pPr>
              <w:keepNext w:val="0"/>
              <w:keepLines w:val="0"/>
              <w:pageBreakBefore w:val="0"/>
              <w:widowControl w:val="0"/>
              <w:shd w:val="clear"/>
              <w:tabs>
                <w:tab w:val="left" w:pos="945"/>
                <w:tab w:val="left" w:pos="1155"/>
              </w:tabs>
              <w:kinsoku/>
              <w:wordWrap/>
              <w:overflowPunct/>
              <w:topLinePunct w:val="0"/>
              <w:autoSpaceDE/>
              <w:autoSpaceDN/>
              <w:bidi w:val="0"/>
              <w:adjustRightInd/>
              <w:snapToGrid/>
              <w:spacing w:before="0" w:after="0" w:line="360" w:lineRule="auto"/>
              <w:textAlignment w:val="auto"/>
              <w:rPr>
                <w:rFonts w:hint="eastAsia" w:ascii="宋体" w:hAnsi="宋体" w:cs="宋体"/>
                <w:szCs w:val="21"/>
                <w:highlight w:val="yellow"/>
              </w:rPr>
            </w:pPr>
            <w:r>
              <w:rPr>
                <w:rFonts w:hint="default" w:ascii="宋体" w:hAnsi="宋体" w:eastAsia="宋体" w:cs="宋体"/>
                <w:color w:val="auto"/>
                <w:sz w:val="21"/>
                <w:szCs w:val="21"/>
                <w:highlight w:val="none"/>
              </w:rPr>
              <w:t>注：上述人员须提供本人身份证、相关证书复印件。未提供或提供不齐全不得分。</w:t>
            </w:r>
          </w:p>
        </w:tc>
        <w:tc>
          <w:tcPr>
            <w:tcW w:w="699" w:type="dxa"/>
            <w:tcBorders>
              <w:top w:val="single" w:color="auto" w:sz="4" w:space="0"/>
              <w:left w:val="nil"/>
              <w:bottom w:val="single" w:color="auto" w:sz="4" w:space="0"/>
              <w:right w:val="single" w:color="auto" w:sz="4" w:space="0"/>
            </w:tcBorders>
            <w:vAlign w:val="center"/>
          </w:tcPr>
          <w:p w14:paraId="1C523F6D">
            <w:pPr>
              <w:snapToGrid w:val="0"/>
              <w:spacing w:line="360" w:lineRule="auto"/>
              <w:jc w:val="center"/>
              <w:rPr>
                <w:rFonts w:hint="eastAsia" w:ascii="宋体" w:hAnsi="宋体" w:eastAsia="宋体" w:cs="宋体"/>
                <w:sz w:val="24"/>
                <w:highlight w:val="none"/>
                <w:lang w:eastAsia="zh-CN"/>
              </w:rPr>
            </w:pPr>
            <w:r>
              <w:rPr>
                <w:rFonts w:hint="eastAsia" w:ascii="宋体" w:hAnsi="宋体" w:cs="宋体"/>
                <w:sz w:val="24"/>
                <w:highlight w:val="none"/>
              </w:rPr>
              <w:t>0-</w:t>
            </w:r>
            <w:r>
              <w:rPr>
                <w:rFonts w:hint="eastAsia" w:ascii="宋体" w:hAnsi="宋体" w:cs="宋体"/>
                <w:sz w:val="24"/>
                <w:highlight w:val="none"/>
                <w:lang w:val="en-US" w:eastAsia="zh-CN"/>
              </w:rPr>
              <w:t>2</w:t>
            </w:r>
          </w:p>
        </w:tc>
      </w:tr>
      <w:tr w14:paraId="1AB5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1" w:hRule="atLeast"/>
          <w:jc w:val="center"/>
        </w:trPr>
        <w:tc>
          <w:tcPr>
            <w:tcW w:w="8762" w:type="dxa"/>
            <w:gridSpan w:val="4"/>
            <w:tcBorders>
              <w:top w:val="single" w:color="auto" w:sz="4" w:space="0"/>
              <w:left w:val="single" w:color="auto" w:sz="4" w:space="0"/>
              <w:bottom w:val="single" w:color="auto" w:sz="4" w:space="0"/>
              <w:right w:val="single" w:color="auto" w:sz="4" w:space="0"/>
            </w:tcBorders>
            <w:vAlign w:val="center"/>
          </w:tcPr>
          <w:p w14:paraId="1D9C92B9">
            <w:pPr>
              <w:snapToGrid w:val="0"/>
              <w:spacing w:line="360" w:lineRule="auto"/>
              <w:jc w:val="center"/>
              <w:rPr>
                <w:rFonts w:hint="eastAsia" w:ascii="宋体" w:hAnsi="宋体" w:cs="宋体"/>
                <w:sz w:val="24"/>
                <w:highlight w:val="none"/>
              </w:rPr>
            </w:pPr>
            <w:r>
              <w:rPr>
                <w:rFonts w:hint="eastAsia" w:ascii="宋体" w:hAnsi="宋体" w:cs="宋体"/>
                <w:sz w:val="24"/>
                <w:highlight w:val="none"/>
              </w:rPr>
              <w:t>第三部分  技术评分（60分）</w:t>
            </w:r>
          </w:p>
        </w:tc>
      </w:tr>
      <w:tr w14:paraId="7207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40519555">
            <w:pPr>
              <w:pStyle w:val="92"/>
              <w:spacing w:line="360" w:lineRule="auto"/>
              <w:ind w:firstLine="0"/>
              <w:jc w:val="center"/>
              <w:rPr>
                <w:rFonts w:hint="eastAsia" w:ascii="宋体" w:hAnsi="宋体" w:cs="宋体"/>
                <w:sz w:val="24"/>
                <w:highlight w:val="none"/>
              </w:rPr>
            </w:pPr>
            <w:r>
              <w:rPr>
                <w:rStyle w:val="46"/>
                <w:rFonts w:hint="eastAsia" w:ascii="宋体" w:hAnsi="宋体" w:cs="宋体"/>
                <w:b w:val="0"/>
                <w:sz w:val="24"/>
                <w:highlight w:val="none"/>
              </w:rPr>
              <w:t>1</w:t>
            </w:r>
          </w:p>
        </w:tc>
        <w:tc>
          <w:tcPr>
            <w:tcW w:w="1280" w:type="dxa"/>
            <w:tcBorders>
              <w:top w:val="single" w:color="auto" w:sz="4" w:space="0"/>
              <w:left w:val="nil"/>
              <w:bottom w:val="single" w:color="auto" w:sz="4" w:space="0"/>
              <w:right w:val="single" w:color="auto" w:sz="4" w:space="0"/>
            </w:tcBorders>
            <w:vAlign w:val="center"/>
          </w:tcPr>
          <w:p w14:paraId="24EE7E99">
            <w:pPr>
              <w:keepNext w:val="0"/>
              <w:keepLines w:val="0"/>
              <w:pageBreakBefore w:val="0"/>
              <w:widowControl/>
              <w:shd w:val="clear"/>
              <w:kinsoku/>
              <w:wordWrap/>
              <w:overflowPunct/>
              <w:topLinePunct w:val="0"/>
              <w:bidi w:val="0"/>
              <w:snapToGrid/>
              <w:spacing w:before="0" w:after="0" w:line="360" w:lineRule="auto"/>
              <w:jc w:val="center"/>
              <w:textAlignment w:val="center"/>
              <w:rPr>
                <w:rFonts w:hint="default" w:ascii="宋体" w:hAnsi="宋体" w:eastAsia="宋体" w:cs="宋体"/>
                <w:color w:val="auto"/>
                <w:sz w:val="21"/>
                <w:szCs w:val="21"/>
                <w:highlight w:val="none"/>
                <w:lang w:eastAsia="zh-CN"/>
              </w:rPr>
            </w:pPr>
            <w:r>
              <w:rPr>
                <w:rFonts w:hint="default" w:ascii="宋体" w:hAnsi="宋体" w:eastAsia="宋体" w:cs="宋体"/>
                <w:color w:val="auto"/>
                <w:sz w:val="21"/>
                <w:szCs w:val="21"/>
                <w:highlight w:val="none"/>
                <w:lang w:val="en-US" w:eastAsia="zh-CN"/>
              </w:rPr>
              <w:t>施工方案与技术措施</w:t>
            </w:r>
          </w:p>
          <w:p w14:paraId="14DAA271">
            <w:pPr>
              <w:widowControl/>
              <w:jc w:val="left"/>
              <w:rPr>
                <w:rFonts w:hint="eastAsia" w:ascii="宋体" w:hAnsi="宋体" w:cs="宋体"/>
                <w:sz w:val="24"/>
                <w:highlight w:val="none"/>
              </w:rPr>
            </w:pPr>
          </w:p>
        </w:tc>
        <w:tc>
          <w:tcPr>
            <w:tcW w:w="6206" w:type="dxa"/>
            <w:tcBorders>
              <w:top w:val="single" w:color="auto" w:sz="4" w:space="0"/>
              <w:left w:val="nil"/>
              <w:bottom w:val="single" w:color="auto" w:sz="4" w:space="0"/>
              <w:right w:val="single" w:color="auto" w:sz="4" w:space="0"/>
            </w:tcBorders>
            <w:vAlign w:val="center"/>
          </w:tcPr>
          <w:p w14:paraId="07442C5C">
            <w:pPr>
              <w:keepNext w:val="0"/>
              <w:keepLines w:val="0"/>
              <w:pageBreakBefore w:val="0"/>
              <w:widowControl/>
              <w:shd w:val="clear"/>
              <w:kinsoku/>
              <w:wordWrap/>
              <w:overflowPunct/>
              <w:topLinePunct w:val="0"/>
              <w:bidi w:val="0"/>
              <w:snapToGrid/>
              <w:spacing w:before="0" w:after="0" w:line="360" w:lineRule="auto"/>
              <w:jc w:val="left"/>
              <w:textAlignment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总体施工方案合理，符合项目实际；主要施工工艺流程完整，关键分项技术措施齐全；对项目重难点有分析及对应措施；施工部署、资源配置合理，能够满足施工需求。</w:t>
            </w:r>
          </w:p>
          <w:p w14:paraId="5F60671F">
            <w:pPr>
              <w:keepNext w:val="0"/>
              <w:keepLines w:val="0"/>
              <w:pageBreakBefore w:val="0"/>
              <w:widowControl/>
              <w:shd w:val="clear"/>
              <w:kinsoku/>
              <w:wordWrap/>
              <w:overflowPunct/>
              <w:topLinePunct w:val="0"/>
              <w:bidi w:val="0"/>
              <w:snapToGrid/>
              <w:spacing w:before="0" w:after="0" w:line="360" w:lineRule="auto"/>
              <w:jc w:val="left"/>
              <w:textAlignment w:val="center"/>
              <w:rPr>
                <w:rFonts w:hint="eastAsia" w:ascii="宋体" w:hAnsi="宋体" w:cs="宋体"/>
                <w:szCs w:val="21"/>
                <w:highlight w:val="none"/>
              </w:rPr>
            </w:pPr>
            <w:r>
              <w:rPr>
                <w:rFonts w:hint="eastAsia" w:ascii="宋体" w:hAnsi="宋体" w:cs="宋体"/>
                <w:szCs w:val="21"/>
                <w:highlight w:val="none"/>
                <w:lang w:eastAsia="zh-CN"/>
              </w:rPr>
              <w:t>评分标准：</w:t>
            </w:r>
            <w:r>
              <w:rPr>
                <w:rFonts w:hint="eastAsia" w:ascii="宋体" w:hAnsi="宋体" w:cs="宋体"/>
                <w:szCs w:val="21"/>
                <w:highlight w:val="none"/>
              </w:rPr>
              <w:t>较好得5-10（含）分，一般得1-5（含）分，较差得0分</w:t>
            </w:r>
          </w:p>
        </w:tc>
        <w:tc>
          <w:tcPr>
            <w:tcW w:w="699" w:type="dxa"/>
            <w:tcBorders>
              <w:top w:val="single" w:color="auto" w:sz="4" w:space="0"/>
              <w:left w:val="nil"/>
              <w:bottom w:val="single" w:color="auto" w:sz="4" w:space="0"/>
              <w:right w:val="single" w:color="auto" w:sz="4" w:space="0"/>
            </w:tcBorders>
            <w:vAlign w:val="center"/>
          </w:tcPr>
          <w:p w14:paraId="1060F0ED">
            <w:pPr>
              <w:pStyle w:val="92"/>
              <w:spacing w:line="360" w:lineRule="auto"/>
              <w:ind w:firstLine="0"/>
              <w:jc w:val="left"/>
              <w:rPr>
                <w:rFonts w:hint="eastAsia" w:ascii="宋体" w:hAnsi="宋体" w:cs="宋体"/>
                <w:sz w:val="24"/>
                <w:highlight w:val="none"/>
              </w:rPr>
            </w:pPr>
            <w:r>
              <w:rPr>
                <w:rStyle w:val="46"/>
                <w:rFonts w:hint="eastAsia" w:ascii="宋体" w:hAnsi="宋体" w:cs="宋体"/>
                <w:b w:val="0"/>
                <w:sz w:val="24"/>
                <w:highlight w:val="none"/>
              </w:rPr>
              <w:t>0-10</w:t>
            </w:r>
          </w:p>
        </w:tc>
      </w:tr>
      <w:tr w14:paraId="6206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20A1A9A3">
            <w:pPr>
              <w:pStyle w:val="92"/>
              <w:spacing w:line="360" w:lineRule="auto"/>
              <w:ind w:firstLine="0"/>
              <w:jc w:val="center"/>
              <w:rPr>
                <w:rFonts w:hint="eastAsia" w:ascii="宋体" w:hAnsi="宋体" w:cs="宋体"/>
                <w:sz w:val="24"/>
                <w:highlight w:val="yellow"/>
              </w:rPr>
            </w:pPr>
            <w:r>
              <w:rPr>
                <w:rStyle w:val="46"/>
                <w:rFonts w:hint="eastAsia" w:ascii="宋体" w:hAnsi="宋体" w:cs="宋体"/>
                <w:b w:val="0"/>
                <w:sz w:val="24"/>
                <w:highlight w:val="none"/>
              </w:rPr>
              <w:t>2</w:t>
            </w:r>
          </w:p>
        </w:tc>
        <w:tc>
          <w:tcPr>
            <w:tcW w:w="1280" w:type="dxa"/>
            <w:tcBorders>
              <w:top w:val="single" w:color="auto" w:sz="4" w:space="0"/>
              <w:left w:val="nil"/>
              <w:bottom w:val="single" w:color="auto" w:sz="4" w:space="0"/>
              <w:right w:val="single" w:color="auto" w:sz="4" w:space="0"/>
            </w:tcBorders>
            <w:vAlign w:val="center"/>
          </w:tcPr>
          <w:p w14:paraId="0C556B08">
            <w:pPr>
              <w:keepNext w:val="0"/>
              <w:keepLines w:val="0"/>
              <w:pageBreakBefore w:val="0"/>
              <w:widowControl/>
              <w:shd w:val="clear"/>
              <w:kinsoku/>
              <w:wordWrap/>
              <w:overflowPunct/>
              <w:topLinePunct w:val="0"/>
              <w:bidi w:val="0"/>
              <w:snapToGrid/>
              <w:spacing w:before="0" w:after="0" w:line="360" w:lineRule="auto"/>
              <w:jc w:val="center"/>
              <w:textAlignment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安全文明施工与环境保护措施</w:t>
            </w:r>
          </w:p>
          <w:p w14:paraId="0D9780A0">
            <w:pPr>
              <w:widowControl/>
              <w:jc w:val="left"/>
              <w:rPr>
                <w:rFonts w:hint="eastAsia" w:ascii="宋体" w:hAnsi="宋体" w:cs="宋体"/>
                <w:sz w:val="24"/>
                <w:highlight w:val="yellow"/>
              </w:rPr>
            </w:pPr>
          </w:p>
        </w:tc>
        <w:tc>
          <w:tcPr>
            <w:tcW w:w="6206" w:type="dxa"/>
            <w:tcBorders>
              <w:top w:val="single" w:color="auto" w:sz="4" w:space="0"/>
              <w:left w:val="nil"/>
              <w:bottom w:val="single" w:color="auto" w:sz="4" w:space="0"/>
              <w:right w:val="single" w:color="auto" w:sz="4" w:space="0"/>
            </w:tcBorders>
            <w:vAlign w:val="center"/>
          </w:tcPr>
          <w:p w14:paraId="1719D6E5">
            <w:pPr>
              <w:keepNext w:val="0"/>
              <w:keepLines w:val="0"/>
              <w:pageBreakBefore w:val="0"/>
              <w:widowControl/>
              <w:shd w:val="clear"/>
              <w:kinsoku/>
              <w:wordWrap/>
              <w:overflowPunct/>
              <w:topLinePunct w:val="0"/>
              <w:bidi w:val="0"/>
              <w:snapToGrid/>
              <w:spacing w:before="0" w:after="0" w:line="360" w:lineRule="auto"/>
              <w:jc w:val="left"/>
              <w:textAlignment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安全文明、环保措施齐全，体系完整；主要安全风险防控措施、文明施工、环保治理措施到位；内容贴合项目实际，无安全隐患漏洞，满足规范及现场管理要求。</w:t>
            </w:r>
          </w:p>
          <w:p w14:paraId="5044CCDB">
            <w:pPr>
              <w:keepNext w:val="0"/>
              <w:keepLines w:val="0"/>
              <w:pageBreakBefore w:val="0"/>
              <w:widowControl/>
              <w:shd w:val="clear"/>
              <w:kinsoku/>
              <w:wordWrap/>
              <w:overflowPunct/>
              <w:topLinePunct w:val="0"/>
              <w:bidi w:val="0"/>
              <w:snapToGrid/>
              <w:spacing w:before="0" w:after="0" w:line="360" w:lineRule="auto"/>
              <w:jc w:val="left"/>
              <w:textAlignment w:val="center"/>
              <w:rPr>
                <w:rFonts w:hint="eastAsia" w:ascii="宋体" w:hAnsi="宋体" w:eastAsia="宋体" w:cs="宋体"/>
                <w:szCs w:val="21"/>
                <w:highlight w:val="none"/>
              </w:rPr>
            </w:pPr>
            <w:r>
              <w:rPr>
                <w:rFonts w:hint="eastAsia" w:ascii="宋体" w:hAnsi="宋体" w:cs="宋体"/>
                <w:szCs w:val="21"/>
                <w:highlight w:val="none"/>
                <w:lang w:eastAsia="zh-CN"/>
              </w:rPr>
              <w:t>评分标准：</w:t>
            </w:r>
            <w:r>
              <w:rPr>
                <w:rFonts w:hint="eastAsia" w:ascii="宋体" w:hAnsi="宋体" w:cs="宋体"/>
                <w:szCs w:val="21"/>
                <w:highlight w:val="none"/>
              </w:rPr>
              <w:t>较好得5-10（含）分，一般得1-5（含）分，较差得0分</w:t>
            </w:r>
          </w:p>
          <w:p w14:paraId="055EE129">
            <w:pPr>
              <w:keepNext w:val="0"/>
              <w:keepLines w:val="0"/>
              <w:pageBreakBefore w:val="0"/>
              <w:widowControl/>
              <w:shd w:val="clear"/>
              <w:kinsoku/>
              <w:wordWrap/>
              <w:overflowPunct/>
              <w:topLinePunct w:val="0"/>
              <w:bidi w:val="0"/>
              <w:snapToGrid/>
              <w:spacing w:before="0" w:after="0" w:line="360" w:lineRule="auto"/>
              <w:jc w:val="left"/>
              <w:textAlignment w:val="center"/>
              <w:rPr>
                <w:rFonts w:hint="eastAsia" w:ascii="宋体" w:hAnsi="宋体" w:cs="宋体"/>
                <w:szCs w:val="21"/>
                <w:highlight w:val="none"/>
              </w:rPr>
            </w:pPr>
          </w:p>
        </w:tc>
        <w:tc>
          <w:tcPr>
            <w:tcW w:w="699" w:type="dxa"/>
            <w:tcBorders>
              <w:top w:val="single" w:color="auto" w:sz="4" w:space="0"/>
              <w:left w:val="nil"/>
              <w:bottom w:val="single" w:color="auto" w:sz="4" w:space="0"/>
              <w:right w:val="single" w:color="auto" w:sz="4" w:space="0"/>
            </w:tcBorders>
            <w:vAlign w:val="center"/>
          </w:tcPr>
          <w:p w14:paraId="23F0A568">
            <w:pPr>
              <w:pStyle w:val="92"/>
              <w:spacing w:line="360" w:lineRule="auto"/>
              <w:ind w:firstLine="0"/>
              <w:jc w:val="left"/>
              <w:rPr>
                <w:rFonts w:hint="eastAsia" w:ascii="宋体" w:hAnsi="宋体" w:cs="宋体"/>
                <w:sz w:val="24"/>
                <w:highlight w:val="none"/>
              </w:rPr>
            </w:pPr>
            <w:r>
              <w:rPr>
                <w:rStyle w:val="46"/>
                <w:rFonts w:hint="eastAsia" w:ascii="宋体" w:hAnsi="宋体" w:cs="宋体"/>
                <w:b w:val="0"/>
                <w:sz w:val="24"/>
                <w:highlight w:val="none"/>
              </w:rPr>
              <w:t>0-10</w:t>
            </w:r>
          </w:p>
        </w:tc>
      </w:tr>
      <w:tr w14:paraId="59BA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27BE7C11">
            <w:pPr>
              <w:pStyle w:val="92"/>
              <w:spacing w:line="360" w:lineRule="auto"/>
              <w:ind w:firstLine="0"/>
              <w:jc w:val="center"/>
              <w:rPr>
                <w:rFonts w:hint="eastAsia" w:ascii="宋体" w:hAnsi="宋体" w:cs="宋体"/>
                <w:sz w:val="24"/>
                <w:highlight w:val="none"/>
              </w:rPr>
            </w:pPr>
            <w:r>
              <w:rPr>
                <w:rStyle w:val="46"/>
                <w:rFonts w:hint="eastAsia" w:ascii="宋体" w:hAnsi="宋体" w:cs="宋体"/>
                <w:b w:val="0"/>
                <w:sz w:val="24"/>
                <w:highlight w:val="none"/>
              </w:rPr>
              <w:t>3</w:t>
            </w:r>
          </w:p>
        </w:tc>
        <w:tc>
          <w:tcPr>
            <w:tcW w:w="1280" w:type="dxa"/>
            <w:tcBorders>
              <w:top w:val="single" w:color="auto" w:sz="4" w:space="0"/>
              <w:left w:val="nil"/>
              <w:bottom w:val="single" w:color="auto" w:sz="4" w:space="0"/>
              <w:right w:val="single" w:color="auto" w:sz="4" w:space="0"/>
            </w:tcBorders>
            <w:vAlign w:val="center"/>
          </w:tcPr>
          <w:p w14:paraId="11AB833A">
            <w:pPr>
              <w:keepNext w:val="0"/>
              <w:keepLines w:val="0"/>
              <w:pageBreakBefore w:val="0"/>
              <w:widowControl/>
              <w:shd w:val="clear"/>
              <w:kinsoku/>
              <w:wordWrap/>
              <w:overflowPunct/>
              <w:topLinePunct w:val="0"/>
              <w:bidi w:val="0"/>
              <w:snapToGrid/>
              <w:spacing w:before="0" w:after="0"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质量保障措施</w:t>
            </w:r>
          </w:p>
        </w:tc>
        <w:tc>
          <w:tcPr>
            <w:tcW w:w="6206" w:type="dxa"/>
            <w:tcBorders>
              <w:top w:val="single" w:color="auto" w:sz="4" w:space="0"/>
              <w:left w:val="nil"/>
              <w:bottom w:val="single" w:color="auto" w:sz="4" w:space="0"/>
              <w:right w:val="single" w:color="auto" w:sz="4" w:space="0"/>
            </w:tcBorders>
            <w:vAlign w:val="center"/>
          </w:tcPr>
          <w:p w14:paraId="0091E283">
            <w:pPr>
              <w:pStyle w:val="92"/>
              <w:spacing w:line="360" w:lineRule="auto"/>
              <w:ind w:firstLine="0"/>
              <w:jc w:val="left"/>
              <w:rPr>
                <w:rFonts w:hint="eastAsia" w:ascii="宋体" w:hAnsi="宋体" w:cs="宋体"/>
                <w:szCs w:val="21"/>
                <w:highlight w:val="none"/>
              </w:rPr>
            </w:pPr>
            <w:r>
              <w:rPr>
                <w:rFonts w:hint="eastAsia" w:ascii="宋体" w:hAnsi="宋体" w:cs="宋体"/>
                <w:szCs w:val="21"/>
                <w:highlight w:val="none"/>
              </w:rPr>
              <w:t>质量保证体系健全，全过程质量管控措施完整；原材料、工序、验收管理措施齐全；有质量通病防治措施，内容详实，可有效保障工程合格标准。</w:t>
            </w:r>
          </w:p>
          <w:p w14:paraId="5312D5C7">
            <w:pPr>
              <w:pStyle w:val="92"/>
              <w:spacing w:line="360" w:lineRule="auto"/>
              <w:ind w:firstLine="0"/>
              <w:jc w:val="left"/>
              <w:rPr>
                <w:rFonts w:hint="eastAsia" w:ascii="宋体" w:hAnsi="宋体" w:cs="宋体"/>
                <w:szCs w:val="21"/>
                <w:highlight w:val="none"/>
              </w:rPr>
            </w:pPr>
            <w:r>
              <w:rPr>
                <w:rFonts w:hint="eastAsia" w:ascii="宋体" w:hAnsi="宋体" w:cs="宋体"/>
                <w:szCs w:val="21"/>
                <w:highlight w:val="none"/>
                <w:lang w:eastAsia="zh-CN"/>
              </w:rPr>
              <w:t>评分标准：</w:t>
            </w:r>
            <w:r>
              <w:rPr>
                <w:rFonts w:hint="eastAsia" w:ascii="宋体" w:hAnsi="宋体" w:cs="宋体"/>
                <w:szCs w:val="21"/>
                <w:highlight w:val="none"/>
              </w:rPr>
              <w:t>较好得5-10（含）分，一般得1-5（含）分，较差得0分</w:t>
            </w:r>
          </w:p>
        </w:tc>
        <w:tc>
          <w:tcPr>
            <w:tcW w:w="699" w:type="dxa"/>
            <w:tcBorders>
              <w:top w:val="single" w:color="auto" w:sz="4" w:space="0"/>
              <w:left w:val="nil"/>
              <w:bottom w:val="single" w:color="auto" w:sz="4" w:space="0"/>
              <w:right w:val="single" w:color="auto" w:sz="4" w:space="0"/>
            </w:tcBorders>
            <w:vAlign w:val="center"/>
          </w:tcPr>
          <w:p w14:paraId="14A003B2">
            <w:pPr>
              <w:pStyle w:val="92"/>
              <w:spacing w:line="360" w:lineRule="auto"/>
              <w:ind w:firstLine="0"/>
              <w:jc w:val="left"/>
              <w:rPr>
                <w:rFonts w:hint="eastAsia" w:ascii="宋体" w:hAnsi="宋体" w:cs="宋体"/>
                <w:sz w:val="24"/>
                <w:highlight w:val="none"/>
              </w:rPr>
            </w:pPr>
            <w:r>
              <w:rPr>
                <w:rStyle w:val="46"/>
                <w:rFonts w:hint="eastAsia" w:ascii="宋体" w:hAnsi="宋体" w:cs="宋体"/>
                <w:b w:val="0"/>
                <w:sz w:val="24"/>
                <w:highlight w:val="none"/>
              </w:rPr>
              <w:t>0-10</w:t>
            </w:r>
          </w:p>
        </w:tc>
      </w:tr>
      <w:tr w14:paraId="0C1E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60E6D858">
            <w:pPr>
              <w:pStyle w:val="92"/>
              <w:spacing w:line="360" w:lineRule="auto"/>
              <w:ind w:firstLine="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w:t>
            </w:r>
          </w:p>
        </w:tc>
        <w:tc>
          <w:tcPr>
            <w:tcW w:w="1280" w:type="dxa"/>
            <w:tcBorders>
              <w:top w:val="single" w:color="auto" w:sz="4" w:space="0"/>
              <w:left w:val="nil"/>
              <w:bottom w:val="single" w:color="auto" w:sz="4" w:space="0"/>
              <w:right w:val="single" w:color="auto" w:sz="4" w:space="0"/>
            </w:tcBorders>
            <w:vAlign w:val="center"/>
          </w:tcPr>
          <w:p w14:paraId="4FEC6E80">
            <w:pPr>
              <w:keepNext w:val="0"/>
              <w:keepLines w:val="0"/>
              <w:pageBreakBefore w:val="0"/>
              <w:widowControl/>
              <w:shd w:val="clear"/>
              <w:kinsoku/>
              <w:wordWrap/>
              <w:overflowPunct/>
              <w:topLinePunct w:val="0"/>
              <w:bidi w:val="0"/>
              <w:snapToGrid/>
              <w:spacing w:before="0" w:after="0"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进度计划与保证措施 </w:t>
            </w:r>
          </w:p>
          <w:p w14:paraId="130693B8">
            <w:pPr>
              <w:keepNext w:val="0"/>
              <w:keepLines w:val="0"/>
              <w:pageBreakBefore w:val="0"/>
              <w:widowControl/>
              <w:shd w:val="clear"/>
              <w:kinsoku/>
              <w:wordWrap/>
              <w:overflowPunct/>
              <w:topLinePunct w:val="0"/>
              <w:bidi w:val="0"/>
              <w:snapToGrid/>
              <w:spacing w:before="0" w:after="0" w:line="360" w:lineRule="auto"/>
              <w:jc w:val="center"/>
              <w:textAlignment w:val="center"/>
              <w:rPr>
                <w:rFonts w:hint="eastAsia" w:ascii="宋体" w:hAnsi="宋体" w:eastAsia="宋体" w:cs="宋体"/>
                <w:color w:val="auto"/>
                <w:sz w:val="21"/>
                <w:szCs w:val="21"/>
                <w:highlight w:val="none"/>
                <w:lang w:val="en-US" w:eastAsia="zh-CN"/>
              </w:rPr>
            </w:pPr>
          </w:p>
        </w:tc>
        <w:tc>
          <w:tcPr>
            <w:tcW w:w="6206" w:type="dxa"/>
            <w:tcBorders>
              <w:top w:val="single" w:color="auto" w:sz="4" w:space="0"/>
              <w:left w:val="nil"/>
              <w:bottom w:val="single" w:color="auto" w:sz="4" w:space="0"/>
              <w:right w:val="single" w:color="auto" w:sz="4" w:space="0"/>
            </w:tcBorders>
          </w:tcPr>
          <w:p w14:paraId="3474ECA9">
            <w:pPr>
              <w:pStyle w:val="92"/>
              <w:spacing w:line="360" w:lineRule="auto"/>
              <w:ind w:firstLine="0"/>
              <w:jc w:val="left"/>
              <w:rPr>
                <w:rFonts w:hint="eastAsia" w:ascii="宋体" w:hAnsi="宋体" w:cs="宋体"/>
                <w:szCs w:val="21"/>
                <w:highlight w:val="none"/>
              </w:rPr>
            </w:pPr>
            <w:r>
              <w:rPr>
                <w:rFonts w:hint="eastAsia" w:ascii="宋体" w:hAnsi="宋体" w:cs="宋体"/>
                <w:szCs w:val="21"/>
                <w:highlight w:val="none"/>
              </w:rPr>
              <w:t>进度计划完整、节点清晰，满足总工期要求；资源保障、工期管控措施齐全；有基本的工期滞后纠偏措施，整体可行。</w:t>
            </w:r>
          </w:p>
          <w:p w14:paraId="0067A2F7">
            <w:pPr>
              <w:pStyle w:val="92"/>
              <w:spacing w:line="360" w:lineRule="auto"/>
              <w:ind w:firstLine="0"/>
              <w:jc w:val="left"/>
              <w:rPr>
                <w:rFonts w:hint="eastAsia" w:ascii="宋体" w:hAnsi="宋体" w:cs="宋体"/>
                <w:szCs w:val="21"/>
                <w:highlight w:val="none"/>
              </w:rPr>
            </w:pPr>
            <w:r>
              <w:rPr>
                <w:rFonts w:hint="eastAsia" w:ascii="宋体" w:hAnsi="宋体" w:cs="宋体"/>
                <w:szCs w:val="21"/>
                <w:highlight w:val="none"/>
                <w:lang w:eastAsia="zh-CN"/>
              </w:rPr>
              <w:t>评分标准：</w:t>
            </w:r>
            <w:r>
              <w:rPr>
                <w:rFonts w:hint="eastAsia" w:ascii="宋体" w:hAnsi="宋体" w:cs="宋体"/>
                <w:szCs w:val="21"/>
                <w:highlight w:val="none"/>
              </w:rPr>
              <w:t>较好得5-10（含）分，一般得1-5（含）分，较差得0分</w:t>
            </w:r>
          </w:p>
        </w:tc>
        <w:tc>
          <w:tcPr>
            <w:tcW w:w="699" w:type="dxa"/>
            <w:tcBorders>
              <w:top w:val="single" w:color="auto" w:sz="4" w:space="0"/>
              <w:left w:val="nil"/>
              <w:bottom w:val="single" w:color="auto" w:sz="4" w:space="0"/>
              <w:right w:val="single" w:color="auto" w:sz="4" w:space="0"/>
            </w:tcBorders>
            <w:vAlign w:val="center"/>
          </w:tcPr>
          <w:p w14:paraId="22E37C27">
            <w:pPr>
              <w:pStyle w:val="92"/>
              <w:spacing w:line="360" w:lineRule="auto"/>
              <w:ind w:firstLine="0"/>
              <w:jc w:val="left"/>
              <w:rPr>
                <w:rFonts w:hint="eastAsia" w:ascii="宋体" w:hAnsi="宋体" w:cs="宋体"/>
                <w:sz w:val="24"/>
                <w:highlight w:val="none"/>
              </w:rPr>
            </w:pPr>
            <w:r>
              <w:rPr>
                <w:rStyle w:val="46"/>
                <w:rFonts w:hint="eastAsia" w:ascii="宋体" w:hAnsi="宋体" w:cs="宋体"/>
                <w:b w:val="0"/>
                <w:sz w:val="24"/>
                <w:highlight w:val="none"/>
              </w:rPr>
              <w:t>0-10</w:t>
            </w:r>
          </w:p>
        </w:tc>
      </w:tr>
      <w:tr w14:paraId="36F8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10F6839A">
            <w:pPr>
              <w:pStyle w:val="92"/>
              <w:spacing w:line="360" w:lineRule="auto"/>
              <w:ind w:firstLine="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w:t>
            </w:r>
          </w:p>
        </w:tc>
        <w:tc>
          <w:tcPr>
            <w:tcW w:w="1280" w:type="dxa"/>
            <w:tcBorders>
              <w:top w:val="single" w:color="auto" w:sz="4" w:space="0"/>
              <w:left w:val="nil"/>
              <w:bottom w:val="single" w:color="auto" w:sz="4" w:space="0"/>
              <w:right w:val="single" w:color="auto" w:sz="4" w:space="0"/>
            </w:tcBorders>
            <w:vAlign w:val="center"/>
          </w:tcPr>
          <w:p w14:paraId="6CAB34E7">
            <w:pPr>
              <w:keepNext w:val="0"/>
              <w:keepLines w:val="0"/>
              <w:pageBreakBefore w:val="0"/>
              <w:widowControl/>
              <w:shd w:val="clear"/>
              <w:kinsoku/>
              <w:wordWrap/>
              <w:overflowPunct/>
              <w:topLinePunct w:val="0"/>
              <w:bidi w:val="0"/>
              <w:snapToGrid/>
              <w:spacing w:before="0" w:after="0"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应急预案与风险控制</w:t>
            </w:r>
          </w:p>
          <w:p w14:paraId="5C2357D3">
            <w:pPr>
              <w:keepNext w:val="0"/>
              <w:keepLines w:val="0"/>
              <w:pageBreakBefore w:val="0"/>
              <w:widowControl/>
              <w:shd w:val="clear"/>
              <w:kinsoku/>
              <w:wordWrap/>
              <w:overflowPunct/>
              <w:topLinePunct w:val="0"/>
              <w:bidi w:val="0"/>
              <w:snapToGrid/>
              <w:spacing w:before="0" w:after="0" w:line="360" w:lineRule="auto"/>
              <w:jc w:val="center"/>
              <w:textAlignment w:val="center"/>
              <w:rPr>
                <w:rFonts w:hint="eastAsia" w:ascii="宋体" w:hAnsi="宋体" w:eastAsia="宋体" w:cs="宋体"/>
                <w:color w:val="auto"/>
                <w:sz w:val="21"/>
                <w:szCs w:val="21"/>
                <w:highlight w:val="none"/>
                <w:lang w:val="en-US" w:eastAsia="zh-CN"/>
              </w:rPr>
            </w:pPr>
          </w:p>
        </w:tc>
        <w:tc>
          <w:tcPr>
            <w:tcW w:w="6206" w:type="dxa"/>
            <w:tcBorders>
              <w:top w:val="single" w:color="auto" w:sz="4" w:space="0"/>
              <w:left w:val="nil"/>
              <w:bottom w:val="single" w:color="auto" w:sz="4" w:space="0"/>
              <w:right w:val="single" w:color="auto" w:sz="4" w:space="0"/>
            </w:tcBorders>
          </w:tcPr>
          <w:p w14:paraId="20B7C09D">
            <w:pPr>
              <w:pStyle w:val="92"/>
              <w:spacing w:line="360" w:lineRule="auto"/>
              <w:ind w:firstLine="0"/>
              <w:jc w:val="left"/>
              <w:rPr>
                <w:rFonts w:hint="eastAsia" w:ascii="宋体" w:hAnsi="宋体" w:cs="宋体"/>
                <w:szCs w:val="21"/>
                <w:highlight w:val="none"/>
              </w:rPr>
            </w:pPr>
            <w:r>
              <w:rPr>
                <w:rFonts w:hint="eastAsia" w:ascii="宋体" w:hAnsi="宋体" w:cs="宋体"/>
                <w:szCs w:val="21"/>
                <w:highlight w:val="none"/>
              </w:rPr>
              <w:t>主要施工风险识别全面，核心专项应急预案齐全；应急组织、物资、处置流程完整；内容贴合项目实际，整体防控能力充足。</w:t>
            </w:r>
          </w:p>
          <w:p w14:paraId="7067D065">
            <w:pPr>
              <w:pStyle w:val="92"/>
              <w:spacing w:line="360" w:lineRule="auto"/>
              <w:ind w:firstLine="0"/>
              <w:jc w:val="left"/>
              <w:rPr>
                <w:rFonts w:hint="eastAsia" w:ascii="宋体" w:hAnsi="宋体" w:cs="宋体"/>
                <w:szCs w:val="21"/>
                <w:highlight w:val="none"/>
              </w:rPr>
            </w:pPr>
            <w:r>
              <w:rPr>
                <w:rFonts w:hint="eastAsia" w:ascii="宋体" w:hAnsi="宋体" w:cs="宋体"/>
                <w:szCs w:val="21"/>
                <w:highlight w:val="none"/>
                <w:lang w:eastAsia="zh-CN"/>
              </w:rPr>
              <w:t>评分标准：</w:t>
            </w:r>
            <w:r>
              <w:rPr>
                <w:rFonts w:hint="eastAsia" w:ascii="宋体" w:hAnsi="宋体" w:cs="宋体"/>
                <w:szCs w:val="21"/>
                <w:highlight w:val="none"/>
              </w:rPr>
              <w:t>较好得5-10（含）分，一般得1-5（含）分，较差得0分</w:t>
            </w:r>
          </w:p>
        </w:tc>
        <w:tc>
          <w:tcPr>
            <w:tcW w:w="699" w:type="dxa"/>
            <w:tcBorders>
              <w:top w:val="single" w:color="auto" w:sz="4" w:space="0"/>
              <w:left w:val="nil"/>
              <w:bottom w:val="single" w:color="auto" w:sz="4" w:space="0"/>
              <w:right w:val="single" w:color="auto" w:sz="4" w:space="0"/>
            </w:tcBorders>
            <w:vAlign w:val="center"/>
          </w:tcPr>
          <w:p w14:paraId="59B2AF39">
            <w:pPr>
              <w:pStyle w:val="92"/>
              <w:spacing w:line="360" w:lineRule="auto"/>
              <w:ind w:firstLine="0"/>
              <w:jc w:val="left"/>
              <w:rPr>
                <w:rFonts w:hint="eastAsia" w:ascii="宋体" w:hAnsi="宋体" w:cs="宋体"/>
                <w:sz w:val="24"/>
                <w:highlight w:val="none"/>
              </w:rPr>
            </w:pPr>
            <w:r>
              <w:rPr>
                <w:rStyle w:val="46"/>
                <w:rFonts w:hint="eastAsia" w:ascii="宋体" w:hAnsi="宋体" w:cs="宋体"/>
                <w:b w:val="0"/>
                <w:sz w:val="24"/>
                <w:highlight w:val="none"/>
              </w:rPr>
              <w:t>0-10</w:t>
            </w:r>
          </w:p>
        </w:tc>
      </w:tr>
      <w:tr w14:paraId="40D6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079C8EC7">
            <w:pPr>
              <w:pStyle w:val="92"/>
              <w:spacing w:line="360" w:lineRule="auto"/>
              <w:ind w:firstLine="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w:t>
            </w:r>
          </w:p>
        </w:tc>
        <w:tc>
          <w:tcPr>
            <w:tcW w:w="1280" w:type="dxa"/>
            <w:tcBorders>
              <w:top w:val="single" w:color="auto" w:sz="4" w:space="0"/>
              <w:left w:val="nil"/>
              <w:bottom w:val="single" w:color="auto" w:sz="4" w:space="0"/>
              <w:right w:val="single" w:color="auto" w:sz="4" w:space="0"/>
            </w:tcBorders>
            <w:vAlign w:val="center"/>
          </w:tcPr>
          <w:p w14:paraId="1C1E1BEC">
            <w:pPr>
              <w:keepNext w:val="0"/>
              <w:keepLines w:val="0"/>
              <w:pageBreakBefore w:val="0"/>
              <w:widowControl/>
              <w:shd w:val="clear"/>
              <w:kinsoku/>
              <w:wordWrap/>
              <w:overflowPunct/>
              <w:topLinePunct w:val="0"/>
              <w:bidi w:val="0"/>
              <w:snapToGrid/>
              <w:spacing w:before="0" w:after="0"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售后服务方案</w:t>
            </w:r>
          </w:p>
        </w:tc>
        <w:tc>
          <w:tcPr>
            <w:tcW w:w="6206" w:type="dxa"/>
            <w:tcBorders>
              <w:top w:val="single" w:color="auto" w:sz="4" w:space="0"/>
              <w:left w:val="nil"/>
              <w:bottom w:val="single" w:color="auto" w:sz="4" w:space="0"/>
              <w:right w:val="single" w:color="auto" w:sz="4" w:space="0"/>
            </w:tcBorders>
          </w:tcPr>
          <w:p w14:paraId="2F7C9A04">
            <w:pPr>
              <w:pStyle w:val="92"/>
              <w:spacing w:line="360" w:lineRule="auto"/>
              <w:ind w:firstLine="0"/>
              <w:jc w:val="left"/>
              <w:rPr>
                <w:rFonts w:hint="eastAsia" w:ascii="宋体" w:hAnsi="宋体" w:cs="宋体"/>
                <w:szCs w:val="21"/>
                <w:highlight w:val="none"/>
              </w:rPr>
            </w:pPr>
            <w:r>
              <w:rPr>
                <w:rFonts w:hint="eastAsia" w:ascii="宋体" w:hAnsi="宋体" w:cs="宋体"/>
                <w:szCs w:val="21"/>
                <w:highlight w:val="none"/>
              </w:rPr>
              <w:t>售后服务制度齐全，质保期服务、维修响应、巡检、回访措施完整；内容规范、贴合项目，完全满足招标文件及行业售后要求。：</w:t>
            </w:r>
          </w:p>
          <w:p w14:paraId="1276EC45">
            <w:pPr>
              <w:pStyle w:val="92"/>
              <w:spacing w:line="360" w:lineRule="auto"/>
              <w:ind w:firstLine="0"/>
              <w:jc w:val="left"/>
              <w:rPr>
                <w:rFonts w:hint="eastAsia" w:ascii="宋体" w:hAnsi="宋体" w:cs="宋体"/>
                <w:szCs w:val="21"/>
                <w:highlight w:val="none"/>
              </w:rPr>
            </w:pPr>
            <w:r>
              <w:rPr>
                <w:rFonts w:hint="eastAsia" w:ascii="宋体" w:hAnsi="宋体" w:cs="宋体"/>
                <w:szCs w:val="21"/>
                <w:highlight w:val="none"/>
                <w:lang w:eastAsia="zh-CN"/>
              </w:rPr>
              <w:t>评分标准：</w:t>
            </w:r>
            <w:r>
              <w:rPr>
                <w:rFonts w:hint="eastAsia" w:ascii="宋体" w:hAnsi="宋体" w:cs="宋体"/>
                <w:szCs w:val="21"/>
                <w:highlight w:val="none"/>
              </w:rPr>
              <w:t>较好得5-10（含）分，一般得1-5（含）分，较差得0分</w:t>
            </w:r>
          </w:p>
        </w:tc>
        <w:tc>
          <w:tcPr>
            <w:tcW w:w="699" w:type="dxa"/>
            <w:tcBorders>
              <w:top w:val="single" w:color="auto" w:sz="4" w:space="0"/>
              <w:left w:val="nil"/>
              <w:bottom w:val="single" w:color="auto" w:sz="4" w:space="0"/>
              <w:right w:val="single" w:color="auto" w:sz="4" w:space="0"/>
            </w:tcBorders>
            <w:vAlign w:val="center"/>
          </w:tcPr>
          <w:p w14:paraId="7752DC32">
            <w:pPr>
              <w:pStyle w:val="92"/>
              <w:spacing w:line="360" w:lineRule="auto"/>
              <w:ind w:firstLine="0"/>
              <w:jc w:val="left"/>
              <w:rPr>
                <w:rFonts w:hint="eastAsia" w:ascii="宋体" w:hAnsi="宋体" w:cs="宋体"/>
                <w:sz w:val="24"/>
                <w:highlight w:val="none"/>
              </w:rPr>
            </w:pPr>
            <w:r>
              <w:rPr>
                <w:rStyle w:val="46"/>
                <w:rFonts w:hint="eastAsia" w:ascii="宋体" w:hAnsi="宋体" w:cs="宋体"/>
                <w:b w:val="0"/>
                <w:sz w:val="24"/>
                <w:highlight w:val="none"/>
              </w:rPr>
              <w:t>0-10</w:t>
            </w:r>
          </w:p>
        </w:tc>
      </w:tr>
      <w:tr w14:paraId="6183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8" w:hRule="atLeast"/>
          <w:jc w:val="center"/>
        </w:trPr>
        <w:tc>
          <w:tcPr>
            <w:tcW w:w="8063" w:type="dxa"/>
            <w:gridSpan w:val="3"/>
            <w:tcBorders>
              <w:top w:val="single" w:color="auto" w:sz="4" w:space="0"/>
              <w:left w:val="single" w:color="auto" w:sz="4" w:space="0"/>
              <w:bottom w:val="single" w:color="auto" w:sz="4" w:space="0"/>
              <w:right w:val="single" w:color="auto" w:sz="4" w:space="0"/>
            </w:tcBorders>
            <w:vAlign w:val="center"/>
          </w:tcPr>
          <w:p w14:paraId="7899997C">
            <w:pPr>
              <w:snapToGrid w:val="0"/>
              <w:spacing w:line="360" w:lineRule="auto"/>
              <w:jc w:val="center"/>
              <w:rPr>
                <w:rFonts w:hint="eastAsia" w:ascii="宋体" w:hAnsi="宋体" w:cs="宋体"/>
                <w:sz w:val="24"/>
                <w:highlight w:val="none"/>
              </w:rPr>
            </w:pPr>
            <w:r>
              <w:rPr>
                <w:rFonts w:hint="eastAsia" w:ascii="宋体" w:hAnsi="宋体" w:cs="宋体"/>
                <w:sz w:val="24"/>
                <w:highlight w:val="none"/>
              </w:rPr>
              <w:t>合计</w:t>
            </w:r>
          </w:p>
        </w:tc>
        <w:tc>
          <w:tcPr>
            <w:tcW w:w="699" w:type="dxa"/>
            <w:tcBorders>
              <w:top w:val="single" w:color="auto" w:sz="4" w:space="0"/>
              <w:left w:val="nil"/>
              <w:bottom w:val="single" w:color="auto" w:sz="4" w:space="0"/>
              <w:right w:val="single" w:color="auto" w:sz="4" w:space="0"/>
            </w:tcBorders>
            <w:vAlign w:val="center"/>
          </w:tcPr>
          <w:p w14:paraId="37A21EC9">
            <w:pPr>
              <w:snapToGrid w:val="0"/>
              <w:spacing w:line="360" w:lineRule="auto"/>
              <w:jc w:val="center"/>
              <w:rPr>
                <w:rFonts w:hint="eastAsia" w:ascii="宋体" w:hAnsi="宋体" w:cs="宋体"/>
                <w:sz w:val="24"/>
                <w:highlight w:val="none"/>
              </w:rPr>
            </w:pPr>
            <w:r>
              <w:rPr>
                <w:rFonts w:hint="eastAsia" w:ascii="宋体" w:hAnsi="宋体" w:cs="宋体"/>
                <w:sz w:val="24"/>
                <w:highlight w:val="none"/>
              </w:rPr>
              <w:t>100</w:t>
            </w:r>
          </w:p>
        </w:tc>
      </w:tr>
    </w:tbl>
    <w:p w14:paraId="4CF363A5">
      <w:pPr>
        <w:spacing w:line="500" w:lineRule="exact"/>
        <w:rPr>
          <w:rFonts w:hint="eastAsia" w:ascii="宋体" w:hAnsi="宋体" w:cs="宋体"/>
          <w:sz w:val="24"/>
          <w:highlight w:val="none"/>
        </w:rPr>
      </w:pPr>
      <w:r>
        <w:rPr>
          <w:rFonts w:hint="eastAsia" w:ascii="宋体" w:hAnsi="宋体" w:cs="宋体"/>
          <w:sz w:val="24"/>
          <w:highlight w:val="none"/>
        </w:rPr>
        <w:t xml:space="preserve"> </w:t>
      </w:r>
    </w:p>
    <w:p w14:paraId="540AF39B">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有下列情形之一的，按废标处理</w:t>
      </w:r>
    </w:p>
    <w:p w14:paraId="433075E6">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（1）投标文件不完整，缺页、页码有误的；</w:t>
      </w:r>
    </w:p>
    <w:p w14:paraId="3527C44F">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（2）投标文件无页码、无目录的；</w:t>
      </w:r>
    </w:p>
    <w:p w14:paraId="51A2D6AD">
      <w:pPr>
        <w:adjustRightInd w:val="0"/>
        <w:snapToGrid w:val="0"/>
        <w:spacing w:line="360" w:lineRule="auto"/>
        <w:ind w:firstLine="480" w:firstLineChars="200"/>
        <w:rPr>
          <w:rFonts w:hint="eastAsia" w:ascii="宋体" w:hAnsi="宋体" w:cs="宋体"/>
          <w:sz w:val="24"/>
        </w:rPr>
      </w:pPr>
      <w:r>
        <w:rPr>
          <w:rFonts w:hint="eastAsia" w:ascii="宋体" w:hAnsi="宋体" w:cs="宋体"/>
          <w:sz w:val="24"/>
          <w:highlight w:val="none"/>
        </w:rPr>
        <w:t>（3）投标文件未装订或装订有误的；</w:t>
      </w:r>
    </w:p>
    <w:p w14:paraId="6F128BBA">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（4）投标文件正本文件、副本文件内容不一致的；</w:t>
      </w:r>
    </w:p>
    <w:p w14:paraId="35875974">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（5）投标文件内容无法辨认的，包括盖章不清楚、印刷不清楚、字迹模糊等情形的；</w:t>
      </w:r>
    </w:p>
    <w:p w14:paraId="247F8CC9">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（6）投标文件前后内容不一致的，包括开标一览表与开标分项一览表内容不一致、点对点应答表与技术资料内容不一致、对同一问题的前后表述不一致等情形的；</w:t>
      </w:r>
    </w:p>
    <w:p w14:paraId="4C48C619">
      <w:pPr>
        <w:pStyle w:val="15"/>
        <w:ind w:firstLine="480" w:firstLineChars="200"/>
        <w:rPr>
          <w:rFonts w:hint="eastAsia" w:ascii="宋体" w:hAnsi="宋体" w:eastAsia="宋体" w:cs="宋体"/>
          <w:szCs w:val="24"/>
        </w:rPr>
      </w:pPr>
      <w:r>
        <w:rPr>
          <w:rFonts w:hint="eastAsia" w:ascii="宋体" w:hAnsi="宋体" w:cs="宋体"/>
        </w:rPr>
        <w:t>（7）</w:t>
      </w:r>
      <w:r>
        <w:rPr>
          <w:rFonts w:hint="eastAsia" w:ascii="宋体" w:hAnsi="宋体" w:eastAsia="宋体" w:cs="宋体"/>
          <w:szCs w:val="24"/>
        </w:rPr>
        <w:t>报价单位有围标、串标行为，做废标处理，上报上级单位，申请撤销涉事单位管道集团、水务集团合格供应商资格，同时禁止参与我公司招标项目1年。</w:t>
      </w:r>
    </w:p>
    <w:p w14:paraId="1EE48713"/>
    <w:p w14:paraId="401E9D26">
      <w:pPr>
        <w:spacing w:line="360" w:lineRule="auto"/>
        <w:rPr>
          <w:rFonts w:hint="eastAsia" w:ascii="宋体" w:hAnsi="宋体" w:cs="宋体"/>
          <w:sz w:val="24"/>
        </w:rPr>
      </w:pPr>
      <w:r>
        <w:rPr>
          <w:rFonts w:hint="eastAsia" w:ascii="宋体" w:hAnsi="宋体" w:cs="宋体"/>
          <w:b/>
          <w:bCs/>
          <w:sz w:val="24"/>
          <w:szCs w:val="32"/>
        </w:rPr>
        <w:t>10.</w:t>
      </w:r>
      <w:r>
        <w:rPr>
          <w:rFonts w:hint="eastAsia" w:ascii="宋体" w:hAnsi="宋体" w:cs="宋体"/>
        </w:rPr>
        <w:t xml:space="preserve"> </w:t>
      </w:r>
      <w:r>
        <w:rPr>
          <w:rFonts w:hint="eastAsia" w:ascii="宋体" w:hAnsi="宋体" w:cs="宋体"/>
          <w:sz w:val="24"/>
        </w:rPr>
        <w:t>评标委员会可以书面方式要求投标人对投标文件中不明确、同类问题表述不一致或者有明显文字和计算错误的内容作必要的澄清、说明或纠正。投标人不得拒绝。</w:t>
      </w:r>
    </w:p>
    <w:p w14:paraId="717F8BF3">
      <w:pPr>
        <w:spacing w:line="360" w:lineRule="auto"/>
        <w:rPr>
          <w:rFonts w:hint="eastAsia" w:ascii="宋体" w:hAnsi="宋体" w:cs="宋体"/>
          <w:b/>
          <w:bCs/>
          <w:sz w:val="24"/>
          <w:szCs w:val="32"/>
        </w:rPr>
      </w:pPr>
      <w:r>
        <w:rPr>
          <w:rFonts w:hint="eastAsia" w:ascii="宋体" w:hAnsi="宋体" w:cs="宋体"/>
          <w:b/>
          <w:bCs/>
          <w:sz w:val="24"/>
          <w:szCs w:val="32"/>
        </w:rPr>
        <w:t xml:space="preserve">11.  </w:t>
      </w:r>
      <w:r>
        <w:rPr>
          <w:rFonts w:hint="eastAsia" w:ascii="宋体" w:hAnsi="宋体" w:cs="宋体"/>
          <w:sz w:val="24"/>
          <w:szCs w:val="32"/>
        </w:rPr>
        <w:t>投标人须以书面形式提供澄清或说明内容，并作为投标文件的组成部分，澄清和说明不得超出投标文件的范围或改变投标文件的实质性内容。评标委员会不接受投标人主动提出的澄清。</w:t>
      </w:r>
    </w:p>
    <w:p w14:paraId="4528DE9D">
      <w:pPr>
        <w:spacing w:line="360" w:lineRule="auto"/>
        <w:rPr>
          <w:rFonts w:hint="eastAsia" w:ascii="宋体" w:hAnsi="宋体" w:cs="宋体"/>
          <w:sz w:val="24"/>
          <w:szCs w:val="32"/>
        </w:rPr>
      </w:pPr>
      <w:r>
        <w:rPr>
          <w:rFonts w:hint="eastAsia" w:ascii="宋体" w:hAnsi="宋体" w:cs="宋体"/>
          <w:b/>
          <w:bCs/>
          <w:sz w:val="24"/>
          <w:szCs w:val="32"/>
        </w:rPr>
        <w:t xml:space="preserve">12. </w:t>
      </w:r>
      <w:r>
        <w:rPr>
          <w:rFonts w:hint="eastAsia" w:ascii="宋体" w:hAnsi="宋体" w:cs="宋体"/>
          <w:sz w:val="24"/>
          <w:szCs w:val="32"/>
        </w:rPr>
        <w:t>推荐中标候选人</w:t>
      </w:r>
    </w:p>
    <w:p w14:paraId="4BF11842">
      <w:pPr>
        <w:spacing w:line="360" w:lineRule="auto"/>
        <w:ind w:firstLine="538"/>
        <w:rPr>
          <w:rFonts w:hint="eastAsia" w:ascii="宋体" w:hAnsi="宋体" w:cs="宋体"/>
          <w:sz w:val="24"/>
          <w:szCs w:val="32"/>
        </w:rPr>
      </w:pPr>
      <w:r>
        <w:rPr>
          <w:rFonts w:hint="eastAsia" w:ascii="宋体" w:hAnsi="宋体" w:cs="宋体"/>
          <w:sz w:val="24"/>
          <w:szCs w:val="32"/>
        </w:rPr>
        <w:t>12.1评标委员会按投标单位的最终得分由高到低的顺序推荐中标候选人记录在评标报告中。评标委员会在评标过程中发现问题，应及时做出处理或者向招标人提出处理意见，并作书面记录。</w:t>
      </w:r>
    </w:p>
    <w:p w14:paraId="7B3C730A">
      <w:pPr>
        <w:spacing w:line="360" w:lineRule="auto"/>
        <w:ind w:firstLine="538"/>
        <w:rPr>
          <w:rFonts w:hint="eastAsia" w:ascii="宋体" w:hAnsi="宋体" w:cs="宋体"/>
          <w:sz w:val="24"/>
          <w:szCs w:val="32"/>
        </w:rPr>
      </w:pPr>
      <w:r>
        <w:rPr>
          <w:rFonts w:hint="eastAsia" w:ascii="宋体" w:hAnsi="宋体" w:cs="宋体"/>
          <w:sz w:val="24"/>
          <w:szCs w:val="32"/>
        </w:rPr>
        <w:t>12.2评标委员会完成评标后，应当向招标人提出书面评标报告。评标报告应当如实记载以下内容： 　</w:t>
      </w:r>
    </w:p>
    <w:p w14:paraId="59164962">
      <w:pPr>
        <w:spacing w:line="360" w:lineRule="auto"/>
        <w:ind w:firstLine="538"/>
        <w:rPr>
          <w:rFonts w:hint="eastAsia" w:ascii="宋体" w:hAnsi="宋体" w:cs="宋体"/>
          <w:sz w:val="24"/>
          <w:szCs w:val="32"/>
        </w:rPr>
      </w:pPr>
      <w:r>
        <w:rPr>
          <w:rFonts w:hint="eastAsia" w:ascii="宋体" w:hAnsi="宋体" w:cs="宋体"/>
          <w:sz w:val="24"/>
          <w:szCs w:val="32"/>
        </w:rPr>
        <w:t xml:space="preserve">（一）资格审查表； </w:t>
      </w:r>
    </w:p>
    <w:p w14:paraId="470A0D17">
      <w:pPr>
        <w:spacing w:line="360" w:lineRule="auto"/>
        <w:ind w:firstLine="538"/>
        <w:rPr>
          <w:rFonts w:hint="eastAsia" w:ascii="宋体" w:hAnsi="宋体" w:cs="宋体"/>
          <w:sz w:val="24"/>
          <w:szCs w:val="32"/>
        </w:rPr>
      </w:pPr>
      <w:r>
        <w:rPr>
          <w:rFonts w:hint="eastAsia" w:ascii="宋体" w:hAnsi="宋体" w:cs="宋体"/>
          <w:sz w:val="24"/>
          <w:szCs w:val="32"/>
        </w:rPr>
        <w:t xml:space="preserve">（二）评标记录； </w:t>
      </w:r>
    </w:p>
    <w:p w14:paraId="67A5190C">
      <w:pPr>
        <w:spacing w:line="360" w:lineRule="auto"/>
        <w:ind w:firstLine="538"/>
        <w:rPr>
          <w:rFonts w:hint="eastAsia" w:ascii="宋体" w:hAnsi="宋体" w:cs="宋体"/>
          <w:sz w:val="24"/>
          <w:szCs w:val="32"/>
        </w:rPr>
      </w:pPr>
      <w:r>
        <w:rPr>
          <w:rFonts w:hint="eastAsia" w:ascii="宋体" w:hAnsi="宋体" w:cs="宋体"/>
          <w:sz w:val="24"/>
          <w:szCs w:val="32"/>
        </w:rPr>
        <w:t xml:space="preserve">（三）供应商比选审批表； </w:t>
      </w:r>
    </w:p>
    <w:p w14:paraId="43BEDE91">
      <w:pPr>
        <w:spacing w:line="360" w:lineRule="auto"/>
        <w:ind w:firstLine="538"/>
        <w:rPr>
          <w:rFonts w:hint="eastAsia" w:ascii="宋体" w:hAnsi="宋体" w:cs="宋体"/>
          <w:sz w:val="24"/>
          <w:szCs w:val="32"/>
        </w:rPr>
      </w:pPr>
      <w:r>
        <w:rPr>
          <w:rFonts w:hint="eastAsia" w:ascii="宋体" w:hAnsi="宋体" w:cs="宋体"/>
          <w:sz w:val="24"/>
          <w:szCs w:val="32"/>
        </w:rPr>
        <w:t xml:space="preserve">（四）评审报告； </w:t>
      </w:r>
    </w:p>
    <w:p w14:paraId="0C6D2829">
      <w:pPr>
        <w:spacing w:line="360" w:lineRule="auto"/>
        <w:rPr>
          <w:rFonts w:hint="eastAsia" w:ascii="宋体" w:hAnsi="宋体" w:cs="宋体"/>
          <w:sz w:val="30"/>
        </w:rPr>
      </w:pPr>
      <w:r>
        <w:rPr>
          <w:rFonts w:hint="eastAsia" w:ascii="宋体" w:hAnsi="宋体" w:cs="宋体"/>
          <w:b/>
          <w:bCs/>
          <w:sz w:val="24"/>
          <w:szCs w:val="32"/>
        </w:rPr>
        <w:t>13.</w:t>
      </w:r>
      <w:r>
        <w:rPr>
          <w:rFonts w:hint="eastAsia" w:ascii="宋体" w:hAnsi="宋体" w:cs="宋体"/>
        </w:rPr>
        <w:t xml:space="preserve"> </w:t>
      </w:r>
      <w:r>
        <w:rPr>
          <w:rFonts w:hint="eastAsia" w:ascii="宋体" w:hAnsi="宋体" w:cs="宋体"/>
          <w:sz w:val="24"/>
        </w:rPr>
        <w:t>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52AA6B4F">
      <w:pPr>
        <w:spacing w:line="360" w:lineRule="auto"/>
        <w:rPr>
          <w:rFonts w:hint="eastAsia" w:ascii="宋体" w:hAnsi="宋体" w:cs="宋体"/>
          <w:sz w:val="24"/>
        </w:rPr>
      </w:pPr>
      <w:r>
        <w:rPr>
          <w:rFonts w:hint="eastAsia" w:ascii="宋体" w:hAnsi="宋体" w:cs="宋体"/>
          <w:b/>
          <w:bCs/>
          <w:sz w:val="24"/>
          <w:szCs w:val="32"/>
        </w:rPr>
        <w:t>14.</w:t>
      </w:r>
      <w:r>
        <w:rPr>
          <w:rFonts w:hint="eastAsia" w:ascii="宋体" w:hAnsi="宋体" w:cs="宋体"/>
        </w:rPr>
        <w:t xml:space="preserve">  </w:t>
      </w:r>
      <w:r>
        <w:rPr>
          <w:rFonts w:hint="eastAsia" w:ascii="宋体" w:hAnsi="宋体" w:cs="宋体"/>
          <w:sz w:val="24"/>
        </w:rPr>
        <w:t>评标委员会按投标单位总得分由高到低的顺序推荐中标候选人，招标人根据评标委员会提出的书面评标报告和推荐的中标候选人顺序确定中标人。</w:t>
      </w:r>
    </w:p>
    <w:p w14:paraId="6EE39B4D">
      <w:pPr>
        <w:spacing w:line="360" w:lineRule="auto"/>
        <w:rPr>
          <w:rFonts w:hint="eastAsia" w:ascii="宋体" w:hAnsi="宋体" w:cs="宋体"/>
          <w:sz w:val="24"/>
        </w:rPr>
      </w:pPr>
      <w:r>
        <w:rPr>
          <w:rFonts w:hint="eastAsia" w:ascii="宋体" w:hAnsi="宋体" w:cs="宋体"/>
          <w:b/>
          <w:bCs/>
          <w:sz w:val="24"/>
        </w:rPr>
        <w:t>15.</w:t>
      </w:r>
      <w:r>
        <w:rPr>
          <w:rFonts w:hint="eastAsia" w:ascii="宋体" w:hAnsi="宋体" w:cs="宋体"/>
          <w:sz w:val="24"/>
        </w:rPr>
        <w:t xml:space="preserve"> 当所有投标人的投标文件均未通过资格审查及初步评审的，评标委员会可以否决全部投标，招标人应当依法重新招标。</w:t>
      </w:r>
    </w:p>
    <w:p w14:paraId="2CC9BE81">
      <w:pPr>
        <w:spacing w:line="360" w:lineRule="auto"/>
        <w:rPr>
          <w:rFonts w:hint="eastAsia" w:ascii="宋体" w:hAnsi="宋体" w:cs="宋体"/>
          <w:sz w:val="24"/>
        </w:rPr>
      </w:pPr>
      <w:r>
        <w:rPr>
          <w:rFonts w:hint="eastAsia" w:ascii="宋体" w:hAnsi="宋体" w:cs="宋体"/>
          <w:b/>
          <w:bCs/>
          <w:sz w:val="24"/>
          <w:szCs w:val="32"/>
        </w:rPr>
        <w:t>16.</w:t>
      </w:r>
      <w:r>
        <w:rPr>
          <w:rFonts w:hint="eastAsia" w:ascii="宋体" w:hAnsi="宋体" w:cs="宋体"/>
        </w:rPr>
        <w:t xml:space="preserve"> </w:t>
      </w:r>
      <w:r>
        <w:rPr>
          <w:rFonts w:hint="eastAsia" w:ascii="宋体" w:hAnsi="宋体" w:cs="宋体"/>
          <w:sz w:val="24"/>
        </w:rPr>
        <w:t>如重新招标，招标人要研究招标无效的原因，并对招标文件进行修改，达到其竞争目的。</w:t>
      </w:r>
    </w:p>
    <w:p w14:paraId="529E1322">
      <w:pPr>
        <w:spacing w:line="360" w:lineRule="auto"/>
        <w:rPr>
          <w:rFonts w:hint="eastAsia" w:ascii="宋体" w:hAnsi="宋体" w:cs="宋体"/>
          <w:sz w:val="24"/>
          <w:szCs w:val="32"/>
        </w:rPr>
      </w:pPr>
      <w:r>
        <w:rPr>
          <w:rFonts w:hint="eastAsia" w:ascii="宋体" w:hAnsi="宋体" w:cs="宋体"/>
          <w:b/>
          <w:bCs/>
          <w:sz w:val="24"/>
          <w:szCs w:val="32"/>
        </w:rPr>
        <w:t>17.</w:t>
      </w:r>
      <w:r>
        <w:rPr>
          <w:rFonts w:hint="eastAsia" w:ascii="宋体" w:hAnsi="宋体" w:cs="宋体"/>
          <w:sz w:val="24"/>
          <w:szCs w:val="32"/>
        </w:rPr>
        <w:t>初步审查和详细评审时发现投标文件有下列情形之一的，应作废标处理：</w:t>
      </w:r>
    </w:p>
    <w:p w14:paraId="1550E901">
      <w:pPr>
        <w:spacing w:line="360" w:lineRule="auto"/>
        <w:ind w:firstLine="480" w:firstLineChars="200"/>
        <w:rPr>
          <w:rFonts w:hint="eastAsia" w:ascii="宋体" w:hAnsi="宋体" w:cs="宋体"/>
          <w:sz w:val="24"/>
        </w:rPr>
      </w:pPr>
      <w:r>
        <w:rPr>
          <w:rFonts w:hint="eastAsia" w:ascii="宋体" w:hAnsi="宋体" w:cs="宋体"/>
          <w:sz w:val="24"/>
        </w:rPr>
        <w:t xml:space="preserve">17.1未按规定的格式编制内容的，或内容不全或关键字迹模糊、无法辨认的； </w:t>
      </w:r>
    </w:p>
    <w:p w14:paraId="5C07832F">
      <w:pPr>
        <w:spacing w:line="360" w:lineRule="auto"/>
        <w:ind w:firstLine="480" w:firstLineChars="200"/>
        <w:rPr>
          <w:rFonts w:hint="eastAsia" w:ascii="宋体" w:hAnsi="宋体" w:cs="宋体"/>
          <w:sz w:val="24"/>
        </w:rPr>
      </w:pPr>
      <w:r>
        <w:rPr>
          <w:rFonts w:hint="eastAsia" w:ascii="宋体" w:hAnsi="宋体" w:cs="宋体"/>
          <w:sz w:val="24"/>
        </w:rPr>
        <w:t>17.2 投标人递交两份或多份内容不同的投标文件，或在一份投标文件中对同一招标项目报有两个或多个报价，且未声明哪一个有效。按招标文件规定提交备选投标方案的除外；</w:t>
      </w:r>
    </w:p>
    <w:p w14:paraId="27408847">
      <w:pPr>
        <w:spacing w:line="360" w:lineRule="auto"/>
        <w:ind w:firstLine="480" w:firstLineChars="200"/>
        <w:rPr>
          <w:rFonts w:hint="eastAsia" w:ascii="宋体" w:hAnsi="宋体" w:cs="宋体"/>
          <w:sz w:val="24"/>
        </w:rPr>
      </w:pPr>
      <w:r>
        <w:rPr>
          <w:rFonts w:hint="eastAsia" w:ascii="宋体" w:hAnsi="宋体" w:cs="宋体"/>
          <w:sz w:val="24"/>
        </w:rPr>
        <w:t>17.3 投标人名称或组织结构与资格预审时不一致的，且没按要求提供新的补充证明；（此条不适用）</w:t>
      </w:r>
    </w:p>
    <w:p w14:paraId="71B8DC57">
      <w:pPr>
        <w:spacing w:line="360" w:lineRule="auto"/>
        <w:ind w:firstLine="480" w:firstLineChars="200"/>
        <w:rPr>
          <w:rFonts w:hint="eastAsia" w:ascii="宋体" w:hAnsi="宋体" w:cs="宋体"/>
          <w:sz w:val="24"/>
        </w:rPr>
      </w:pPr>
      <w:r>
        <w:rPr>
          <w:rFonts w:hint="eastAsia" w:ascii="宋体" w:hAnsi="宋体" w:cs="宋体"/>
          <w:sz w:val="24"/>
        </w:rPr>
        <w:t>17.4 联合体投标未附联合体各方共同投标协议的；</w:t>
      </w:r>
    </w:p>
    <w:p w14:paraId="5BE9D98F">
      <w:pPr>
        <w:spacing w:line="360" w:lineRule="auto"/>
        <w:ind w:firstLine="480" w:firstLineChars="200"/>
        <w:rPr>
          <w:rFonts w:hint="eastAsia" w:ascii="宋体" w:hAnsi="宋体" w:cs="宋体"/>
          <w:sz w:val="24"/>
        </w:rPr>
      </w:pPr>
      <w:r>
        <w:rPr>
          <w:rFonts w:hint="eastAsia" w:ascii="宋体" w:hAnsi="宋体" w:cs="宋体"/>
          <w:sz w:val="24"/>
        </w:rPr>
        <w:t xml:space="preserve">17.5投标人的法定代表人或其授权人没有参加开标的；或提供身份证件的或证件失效的； </w:t>
      </w:r>
    </w:p>
    <w:p w14:paraId="354C28C7">
      <w:pPr>
        <w:spacing w:line="360" w:lineRule="auto"/>
        <w:ind w:firstLine="480" w:firstLineChars="200"/>
        <w:rPr>
          <w:rFonts w:hint="eastAsia" w:ascii="宋体" w:hAnsi="宋体" w:cs="宋体"/>
          <w:sz w:val="24"/>
        </w:rPr>
      </w:pPr>
      <w:r>
        <w:rPr>
          <w:rFonts w:hint="eastAsia" w:ascii="宋体" w:hAnsi="宋体" w:cs="宋体"/>
          <w:sz w:val="24"/>
        </w:rPr>
        <w:t xml:space="preserve">17.6授权代表的授权委托书投标人法定代表人未签字或盖章的； </w:t>
      </w:r>
    </w:p>
    <w:p w14:paraId="45C52E5D">
      <w:pPr>
        <w:spacing w:line="360" w:lineRule="auto"/>
        <w:ind w:firstLine="480" w:firstLineChars="200"/>
        <w:rPr>
          <w:rFonts w:hint="eastAsia" w:ascii="宋体" w:hAnsi="宋体" w:cs="宋体"/>
          <w:sz w:val="24"/>
        </w:rPr>
      </w:pPr>
      <w:r>
        <w:rPr>
          <w:rFonts w:hint="eastAsia" w:ascii="宋体" w:hAnsi="宋体" w:cs="宋体"/>
          <w:sz w:val="24"/>
        </w:rPr>
        <w:t>17.7 未按招标文件要求提供投标人相关证件或证件不齐全；或证件未经年检的或年检不合格的或失效的；</w:t>
      </w:r>
    </w:p>
    <w:p w14:paraId="389077FB">
      <w:pPr>
        <w:spacing w:line="360" w:lineRule="auto"/>
        <w:ind w:firstLine="480" w:firstLineChars="200"/>
        <w:rPr>
          <w:rFonts w:hint="eastAsia" w:ascii="宋体" w:hAnsi="宋体" w:cs="宋体"/>
          <w:sz w:val="24"/>
        </w:rPr>
      </w:pPr>
      <w:r>
        <w:rPr>
          <w:rFonts w:hint="eastAsia" w:ascii="宋体" w:hAnsi="宋体" w:cs="宋体"/>
          <w:sz w:val="24"/>
        </w:rPr>
        <w:t>17.8 没有按照招标文件要求提供投标担保或者所提供的投标担保有瑕疵；</w:t>
      </w:r>
    </w:p>
    <w:p w14:paraId="1957BBFE">
      <w:pPr>
        <w:spacing w:line="360" w:lineRule="auto"/>
        <w:ind w:firstLine="480" w:firstLineChars="200"/>
        <w:rPr>
          <w:rFonts w:hint="eastAsia" w:ascii="宋体" w:hAnsi="宋体" w:cs="宋体"/>
          <w:sz w:val="24"/>
        </w:rPr>
      </w:pPr>
      <w:r>
        <w:rPr>
          <w:rFonts w:hint="eastAsia" w:ascii="宋体" w:hAnsi="宋体" w:cs="宋体"/>
          <w:sz w:val="24"/>
        </w:rPr>
        <w:t>17.9投标文件无单位盖章，或无投标人法定代表人或法定代表人授权人签字或盖章的；</w:t>
      </w:r>
    </w:p>
    <w:p w14:paraId="55D3B0A6">
      <w:pPr>
        <w:spacing w:line="360" w:lineRule="auto"/>
        <w:ind w:firstLine="480" w:firstLineChars="200"/>
        <w:rPr>
          <w:rFonts w:hint="eastAsia" w:ascii="宋体" w:hAnsi="宋体" w:cs="宋体"/>
          <w:sz w:val="24"/>
        </w:rPr>
      </w:pPr>
      <w:r>
        <w:rPr>
          <w:rFonts w:hint="eastAsia" w:ascii="宋体" w:hAnsi="宋体" w:cs="宋体"/>
          <w:sz w:val="24"/>
        </w:rPr>
        <w:t xml:space="preserve">17.10不按要求对投标文件进行澄清、说明或者补正的； </w:t>
      </w:r>
    </w:p>
    <w:p w14:paraId="352CC50B">
      <w:pPr>
        <w:spacing w:line="360" w:lineRule="auto"/>
        <w:ind w:firstLine="480" w:firstLineChars="200"/>
        <w:rPr>
          <w:rFonts w:hint="eastAsia" w:ascii="宋体" w:hAnsi="宋体" w:cs="宋体"/>
          <w:sz w:val="24"/>
        </w:rPr>
      </w:pPr>
      <w:r>
        <w:rPr>
          <w:rFonts w:hint="eastAsia" w:ascii="宋体" w:hAnsi="宋体" w:cs="宋体"/>
          <w:sz w:val="24"/>
        </w:rPr>
        <w:t>17.11投标文件载明的招标项目完成期限超过招标文件规定的期限；</w:t>
      </w:r>
    </w:p>
    <w:p w14:paraId="119010B0">
      <w:pPr>
        <w:spacing w:line="360" w:lineRule="auto"/>
        <w:ind w:firstLine="480" w:firstLineChars="200"/>
        <w:rPr>
          <w:rFonts w:hint="eastAsia" w:ascii="宋体" w:hAnsi="宋体" w:cs="宋体"/>
          <w:sz w:val="24"/>
        </w:rPr>
      </w:pPr>
      <w:r>
        <w:rPr>
          <w:rFonts w:hint="eastAsia" w:ascii="宋体" w:hAnsi="宋体" w:cs="宋体"/>
          <w:sz w:val="24"/>
        </w:rPr>
        <w:t>17.12明显不符合技术规格、技术标准的要求；</w:t>
      </w:r>
    </w:p>
    <w:p w14:paraId="5EDCF3AC">
      <w:pPr>
        <w:spacing w:line="360" w:lineRule="auto"/>
        <w:ind w:firstLine="480" w:firstLineChars="200"/>
        <w:rPr>
          <w:rFonts w:hint="eastAsia" w:ascii="宋体" w:hAnsi="宋体" w:cs="宋体"/>
          <w:sz w:val="24"/>
        </w:rPr>
      </w:pPr>
      <w:r>
        <w:rPr>
          <w:rFonts w:hint="eastAsia" w:ascii="宋体" w:hAnsi="宋体" w:cs="宋体"/>
          <w:sz w:val="24"/>
        </w:rPr>
        <w:t>17.13投标人报价超过招标人设置的采购预算的；</w:t>
      </w:r>
    </w:p>
    <w:p w14:paraId="5D7CEF1D">
      <w:pPr>
        <w:spacing w:line="360" w:lineRule="auto"/>
        <w:ind w:firstLine="480" w:firstLineChars="200"/>
        <w:rPr>
          <w:rFonts w:hint="eastAsia" w:ascii="宋体" w:hAnsi="宋体" w:cs="宋体"/>
          <w:sz w:val="24"/>
        </w:rPr>
      </w:pPr>
      <w:r>
        <w:rPr>
          <w:rFonts w:hint="eastAsia" w:ascii="宋体" w:hAnsi="宋体" w:cs="宋体"/>
          <w:sz w:val="24"/>
        </w:rPr>
        <w:t>17.14投标文件附有采购人不能接受的条件、内容的；</w:t>
      </w:r>
    </w:p>
    <w:p w14:paraId="1CEE1F60">
      <w:pPr>
        <w:spacing w:line="360" w:lineRule="auto"/>
        <w:ind w:firstLine="480" w:firstLineChars="200"/>
        <w:rPr>
          <w:rFonts w:hint="eastAsia" w:ascii="宋体" w:hAnsi="宋体" w:cs="宋体"/>
          <w:sz w:val="24"/>
        </w:rPr>
      </w:pPr>
      <w:r>
        <w:rPr>
          <w:rFonts w:hint="eastAsia" w:ascii="宋体" w:hAnsi="宋体" w:cs="宋体"/>
          <w:sz w:val="24"/>
        </w:rPr>
        <w:t>17.15不符合招标文件中规定的其他实质性要求的；</w:t>
      </w:r>
    </w:p>
    <w:p w14:paraId="763678AB">
      <w:pPr>
        <w:spacing w:line="360" w:lineRule="auto"/>
        <w:ind w:firstLine="480" w:firstLineChars="200"/>
        <w:rPr>
          <w:rFonts w:hint="eastAsia" w:ascii="宋体" w:hAnsi="宋体" w:cs="宋体"/>
          <w:sz w:val="24"/>
        </w:rPr>
      </w:pPr>
      <w:r>
        <w:rPr>
          <w:rFonts w:hint="eastAsia" w:ascii="宋体" w:hAnsi="宋体" w:cs="宋体"/>
          <w:sz w:val="24"/>
        </w:rPr>
        <w:t>17.16在评审过程中，评标委员会发现投标人以他人的名义投标，串通投标，以行贿手段谋取中标或者以其他弄虚作假方式投标的，该投标人的投标应作废标处理；</w:t>
      </w:r>
    </w:p>
    <w:p w14:paraId="22C02D50">
      <w:pPr>
        <w:spacing w:line="360" w:lineRule="auto"/>
        <w:ind w:firstLine="480" w:firstLineChars="200"/>
        <w:rPr>
          <w:rFonts w:hint="eastAsia" w:ascii="宋体" w:hAnsi="宋体" w:cs="宋体"/>
          <w:sz w:val="24"/>
        </w:rPr>
      </w:pPr>
      <w:r>
        <w:rPr>
          <w:rFonts w:hint="eastAsia" w:ascii="宋体" w:hAnsi="宋体" w:cs="宋体"/>
          <w:sz w:val="24"/>
        </w:rPr>
        <w:t>17.17投标人资格条件不符合国家有关规定和招标文件要求的或拒不按照要求对投标文件进行澄清，说明或补正的，评委会可以否决其投标。</w:t>
      </w:r>
    </w:p>
    <w:p w14:paraId="41970CD6">
      <w:pPr>
        <w:spacing w:line="360" w:lineRule="auto"/>
        <w:ind w:firstLine="480" w:firstLineChars="200"/>
        <w:rPr>
          <w:rFonts w:hint="eastAsia" w:ascii="宋体" w:hAnsi="宋体" w:cs="宋体"/>
          <w:sz w:val="24"/>
        </w:rPr>
      </w:pPr>
      <w:r>
        <w:rPr>
          <w:rFonts w:hint="eastAsia" w:ascii="宋体" w:hAnsi="宋体" w:cs="宋体"/>
          <w:sz w:val="24"/>
        </w:rPr>
        <w:t>评标委员会应审查每一投标文件是否对招标文件提出的所有实质性要求和条件作出响应，未能在实质上响应的投标，应作为废标。</w:t>
      </w:r>
    </w:p>
    <w:p w14:paraId="5AD43F1D">
      <w:pPr>
        <w:pStyle w:val="15"/>
        <w:rPr>
          <w:rFonts w:hint="eastAsia" w:ascii="宋体" w:hAnsi="宋体" w:eastAsia="宋体" w:cs="宋体"/>
        </w:rPr>
      </w:pPr>
    </w:p>
    <w:p w14:paraId="1B861F6B">
      <w:pPr>
        <w:spacing w:line="360" w:lineRule="auto"/>
        <w:ind w:firstLine="282"/>
        <w:rPr>
          <w:rFonts w:hint="eastAsia" w:ascii="宋体" w:hAnsi="宋体" w:cs="宋体"/>
          <w:b/>
          <w:sz w:val="24"/>
        </w:rPr>
      </w:pPr>
      <w:r>
        <w:rPr>
          <w:rFonts w:hint="eastAsia" w:ascii="宋体" w:hAnsi="宋体" w:cs="宋体"/>
          <w:b/>
          <w:sz w:val="24"/>
        </w:rPr>
        <w:t>注：1、在评标过程中（包含初步评审、详细评审）出现上述情形的之一的，均作废标处理。</w:t>
      </w:r>
    </w:p>
    <w:p w14:paraId="03700439">
      <w:pPr>
        <w:pStyle w:val="39"/>
        <w:spacing w:line="360" w:lineRule="auto"/>
        <w:ind w:left="0" w:leftChars="0" w:firstLine="723" w:firstLineChars="300"/>
        <w:rPr>
          <w:rFonts w:hint="eastAsia" w:ascii="宋体" w:hAnsi="宋体" w:eastAsia="宋体" w:cs="宋体"/>
          <w:b/>
          <w:szCs w:val="24"/>
        </w:rPr>
      </w:pPr>
      <w:bookmarkStart w:id="293" w:name="_Toc6933"/>
      <w:bookmarkStart w:id="294" w:name="_Toc28029"/>
      <w:bookmarkStart w:id="295" w:name="_Toc1994"/>
      <w:bookmarkStart w:id="296" w:name="_Toc5095"/>
      <w:bookmarkStart w:id="297" w:name="_Toc19122"/>
      <w:bookmarkStart w:id="298" w:name="_Toc189"/>
      <w:bookmarkStart w:id="299" w:name="_Toc5047"/>
      <w:bookmarkStart w:id="300" w:name="_Toc15089"/>
      <w:bookmarkStart w:id="301" w:name="_Toc21317"/>
      <w:r>
        <w:rPr>
          <w:rFonts w:hint="eastAsia" w:ascii="宋体" w:hAnsi="宋体" w:eastAsia="宋体" w:cs="宋体"/>
          <w:b/>
          <w:szCs w:val="24"/>
        </w:rPr>
        <w:t>2、招标文件中其他条款与单列的否决性条款不一致的，以单列的否决性条款为准。</w:t>
      </w:r>
      <w:bookmarkEnd w:id="293"/>
      <w:bookmarkEnd w:id="294"/>
      <w:bookmarkEnd w:id="295"/>
      <w:bookmarkEnd w:id="296"/>
      <w:bookmarkEnd w:id="297"/>
      <w:bookmarkEnd w:id="298"/>
      <w:bookmarkEnd w:id="299"/>
      <w:bookmarkEnd w:id="300"/>
      <w:bookmarkEnd w:id="301"/>
    </w:p>
    <w:p w14:paraId="7B5EA298">
      <w:pPr>
        <w:rPr>
          <w:rFonts w:hint="eastAsia" w:ascii="宋体" w:hAnsi="宋体" w:cs="宋体"/>
          <w:sz w:val="40"/>
          <w:szCs w:val="40"/>
        </w:rPr>
      </w:pPr>
      <w:r>
        <w:rPr>
          <w:rFonts w:hint="eastAsia" w:ascii="宋体" w:hAnsi="宋体" w:cs="宋体"/>
          <w:sz w:val="40"/>
          <w:szCs w:val="40"/>
        </w:rPr>
        <w:br w:type="page"/>
      </w:r>
    </w:p>
    <w:p w14:paraId="7890A1A5">
      <w:pPr>
        <w:pStyle w:val="2"/>
        <w:rPr>
          <w:rFonts w:hint="eastAsia" w:ascii="宋体" w:hAnsi="宋体" w:cs="宋体"/>
          <w:sz w:val="40"/>
          <w:szCs w:val="40"/>
        </w:rPr>
      </w:pPr>
      <w:bookmarkStart w:id="302" w:name="_Toc15828"/>
      <w:r>
        <w:rPr>
          <w:rFonts w:hint="eastAsia" w:ascii="宋体" w:hAnsi="宋体" w:cs="宋体"/>
          <w:sz w:val="40"/>
          <w:szCs w:val="40"/>
        </w:rPr>
        <w:t>第五章  投标文件格式</w:t>
      </w:r>
      <w:bookmarkEnd w:id="202"/>
      <w:bookmarkEnd w:id="302"/>
    </w:p>
    <w:p w14:paraId="5F961DAB">
      <w:pPr>
        <w:rPr>
          <w:rFonts w:hint="eastAsia" w:ascii="宋体" w:hAnsi="宋体" w:cs="宋体"/>
        </w:rPr>
      </w:pPr>
    </w:p>
    <w:p w14:paraId="1CFD0429">
      <w:pPr>
        <w:widowControl/>
        <w:tabs>
          <w:tab w:val="left" w:pos="3828"/>
        </w:tabs>
        <w:autoSpaceDE w:val="0"/>
        <w:autoSpaceDN w:val="0"/>
        <w:spacing w:before="600" w:line="560" w:lineRule="exact"/>
        <w:textAlignment w:val="bottom"/>
        <w:rPr>
          <w:rFonts w:hint="eastAsia" w:ascii="宋体" w:hAnsi="宋体" w:cs="宋体"/>
          <w:b/>
          <w:bCs/>
          <w:sz w:val="52"/>
          <w:szCs w:val="52"/>
        </w:rPr>
      </w:pPr>
    </w:p>
    <w:p w14:paraId="319566F9">
      <w:pPr>
        <w:pStyle w:val="15"/>
        <w:rPr>
          <w:rFonts w:hint="eastAsia" w:ascii="宋体" w:hAnsi="宋体" w:eastAsia="宋体" w:cs="宋体"/>
          <w:b/>
          <w:bCs/>
          <w:sz w:val="52"/>
          <w:szCs w:val="52"/>
        </w:rPr>
      </w:pPr>
    </w:p>
    <w:p w14:paraId="4B9C1C46">
      <w:pPr>
        <w:pStyle w:val="15"/>
        <w:rPr>
          <w:rFonts w:hint="eastAsia" w:ascii="宋体" w:hAnsi="宋体" w:eastAsia="宋体" w:cs="宋体"/>
          <w:b/>
          <w:bCs/>
          <w:sz w:val="52"/>
          <w:szCs w:val="52"/>
        </w:rPr>
      </w:pPr>
    </w:p>
    <w:p w14:paraId="3EF57DA6">
      <w:pPr>
        <w:pStyle w:val="15"/>
        <w:rPr>
          <w:rFonts w:hint="eastAsia" w:ascii="宋体" w:hAnsi="宋体" w:eastAsia="宋体" w:cs="宋体"/>
          <w:b/>
          <w:bCs/>
          <w:sz w:val="52"/>
          <w:szCs w:val="52"/>
        </w:rPr>
      </w:pPr>
    </w:p>
    <w:p w14:paraId="6AE2296F">
      <w:pPr>
        <w:pStyle w:val="15"/>
        <w:rPr>
          <w:rFonts w:hint="eastAsia" w:ascii="宋体" w:hAnsi="宋体" w:eastAsia="宋体" w:cs="宋体"/>
          <w:b/>
          <w:bCs/>
          <w:sz w:val="52"/>
          <w:szCs w:val="52"/>
        </w:rPr>
      </w:pPr>
    </w:p>
    <w:p w14:paraId="015C8941">
      <w:pPr>
        <w:pStyle w:val="15"/>
        <w:rPr>
          <w:rFonts w:hint="eastAsia" w:ascii="宋体" w:hAnsi="宋体" w:eastAsia="宋体" w:cs="宋体"/>
          <w:b/>
          <w:bCs/>
          <w:sz w:val="52"/>
          <w:szCs w:val="52"/>
        </w:rPr>
      </w:pPr>
    </w:p>
    <w:p w14:paraId="560A34E4">
      <w:pPr>
        <w:rPr>
          <w:rFonts w:hint="eastAsia" w:ascii="宋体" w:hAnsi="宋体" w:cs="宋体"/>
          <w:b/>
          <w:bCs/>
          <w:sz w:val="52"/>
          <w:szCs w:val="52"/>
        </w:rPr>
      </w:pPr>
    </w:p>
    <w:p w14:paraId="609BE419">
      <w:pPr>
        <w:pStyle w:val="15"/>
        <w:rPr>
          <w:rFonts w:hint="eastAsia" w:ascii="宋体" w:hAnsi="宋体" w:eastAsia="宋体" w:cs="宋体"/>
          <w:b/>
          <w:bCs/>
          <w:sz w:val="52"/>
          <w:szCs w:val="52"/>
        </w:rPr>
      </w:pPr>
    </w:p>
    <w:p w14:paraId="578A6D25">
      <w:pPr>
        <w:rPr>
          <w:rFonts w:hint="eastAsia" w:ascii="宋体" w:hAnsi="宋体" w:cs="宋体"/>
          <w:b/>
          <w:bCs/>
          <w:sz w:val="52"/>
          <w:szCs w:val="52"/>
        </w:rPr>
      </w:pPr>
    </w:p>
    <w:p w14:paraId="748A0B04">
      <w:pPr>
        <w:pStyle w:val="15"/>
        <w:rPr>
          <w:rFonts w:hint="eastAsia" w:ascii="宋体" w:hAnsi="宋体" w:eastAsia="宋体" w:cs="宋体"/>
          <w:b/>
          <w:bCs/>
          <w:sz w:val="52"/>
          <w:szCs w:val="52"/>
        </w:rPr>
      </w:pPr>
    </w:p>
    <w:p w14:paraId="6ED58BD7">
      <w:pPr>
        <w:rPr>
          <w:rFonts w:hint="eastAsia" w:ascii="宋体" w:hAnsi="宋体" w:cs="宋体"/>
        </w:rPr>
      </w:pPr>
    </w:p>
    <w:p w14:paraId="1162ACD2">
      <w:pPr>
        <w:widowControl/>
        <w:tabs>
          <w:tab w:val="left" w:pos="3828"/>
        </w:tabs>
        <w:autoSpaceDE w:val="0"/>
        <w:autoSpaceDN w:val="0"/>
        <w:textAlignment w:val="bottom"/>
        <w:rPr>
          <w:rFonts w:hint="eastAsia" w:ascii="宋体" w:hAnsi="宋体" w:cs="宋体"/>
          <w:b/>
          <w:sz w:val="52"/>
          <w:szCs w:val="52"/>
          <w:u w:val="single"/>
        </w:rPr>
      </w:pPr>
      <w:r>
        <w:rPr>
          <w:rFonts w:hint="eastAsia" w:ascii="宋体" w:hAnsi="宋体" w:cs="宋体"/>
          <w:b/>
          <w:sz w:val="52"/>
          <w:szCs w:val="52"/>
          <w:u w:val="single"/>
        </w:rPr>
        <w:br w:type="page"/>
      </w:r>
      <w:r>
        <w:rPr>
          <w:rFonts w:hint="eastAsia" w:ascii="宋体" w:hAnsi="宋体" w:cs="宋体"/>
          <w:b/>
          <w:sz w:val="52"/>
          <w:szCs w:val="52"/>
          <w:u w:val="single"/>
        </w:rPr>
        <w:t>项目名称：</w:t>
      </w:r>
    </w:p>
    <w:p w14:paraId="118CB58E">
      <w:pPr>
        <w:widowControl/>
        <w:tabs>
          <w:tab w:val="left" w:pos="3828"/>
        </w:tabs>
        <w:autoSpaceDE w:val="0"/>
        <w:autoSpaceDN w:val="0"/>
        <w:jc w:val="center"/>
        <w:textAlignment w:val="bottom"/>
        <w:rPr>
          <w:rFonts w:hint="eastAsia" w:ascii="宋体" w:hAnsi="宋体" w:cs="宋体"/>
          <w:b/>
          <w:sz w:val="52"/>
          <w:szCs w:val="52"/>
          <w:u w:val="single"/>
        </w:rPr>
      </w:pPr>
    </w:p>
    <w:p w14:paraId="5E1DC414">
      <w:pPr>
        <w:spacing w:line="700" w:lineRule="atLeast"/>
        <w:rPr>
          <w:rFonts w:hint="eastAsia" w:ascii="宋体" w:hAnsi="宋体" w:cs="宋体"/>
          <w:sz w:val="18"/>
        </w:rPr>
      </w:pPr>
    </w:p>
    <w:p w14:paraId="36F815A6">
      <w:pPr>
        <w:spacing w:line="700" w:lineRule="atLeast"/>
        <w:jc w:val="center"/>
        <w:rPr>
          <w:rFonts w:hint="eastAsia" w:ascii="宋体" w:hAnsi="宋体" w:cs="宋体"/>
          <w:b/>
          <w:sz w:val="72"/>
        </w:rPr>
      </w:pPr>
      <w:r>
        <w:rPr>
          <w:rFonts w:hint="eastAsia" w:ascii="宋体" w:hAnsi="宋体" w:cs="宋体"/>
          <w:b/>
          <w:sz w:val="72"/>
        </w:rPr>
        <w:t>投 标 文 件</w:t>
      </w:r>
    </w:p>
    <w:p w14:paraId="666347BC">
      <w:pPr>
        <w:pStyle w:val="2"/>
        <w:spacing w:line="240" w:lineRule="auto"/>
        <w:rPr>
          <w:rFonts w:hint="eastAsia" w:ascii="宋体" w:hAnsi="宋体" w:cs="宋体"/>
          <w:b w:val="0"/>
          <w:sz w:val="44"/>
        </w:rPr>
      </w:pPr>
    </w:p>
    <w:p w14:paraId="09C3ED9D">
      <w:pPr>
        <w:spacing w:line="700" w:lineRule="atLeast"/>
        <w:rPr>
          <w:rFonts w:hint="eastAsia" w:ascii="宋体" w:hAnsi="宋体" w:cs="宋体"/>
        </w:rPr>
      </w:pPr>
      <w:r>
        <w:rPr>
          <w:rFonts w:hint="eastAsia" w:ascii="宋体" w:hAnsi="宋体" w:cs="宋体"/>
          <w:sz w:val="36"/>
        </w:rPr>
        <w:t xml:space="preserve">                   </w:t>
      </w:r>
    </w:p>
    <w:p w14:paraId="3C7F4C3E">
      <w:pPr>
        <w:spacing w:line="700" w:lineRule="atLeast"/>
        <w:jc w:val="center"/>
        <w:rPr>
          <w:rFonts w:hint="eastAsia" w:ascii="宋体" w:hAnsi="宋体" w:cs="宋体"/>
          <w:b/>
          <w:sz w:val="40"/>
        </w:rPr>
      </w:pPr>
    </w:p>
    <w:p w14:paraId="7A9CC6CE">
      <w:pPr>
        <w:spacing w:line="200" w:lineRule="atLeast"/>
        <w:jc w:val="center"/>
        <w:rPr>
          <w:rFonts w:hint="eastAsia" w:ascii="宋体" w:hAnsi="宋体" w:cs="宋体"/>
          <w:sz w:val="32"/>
        </w:rPr>
      </w:pPr>
    </w:p>
    <w:p w14:paraId="6B83B655">
      <w:pPr>
        <w:spacing w:line="200" w:lineRule="atLeast"/>
        <w:rPr>
          <w:rFonts w:hint="eastAsia" w:ascii="宋体" w:hAnsi="宋体" w:cs="宋体"/>
          <w:sz w:val="32"/>
        </w:rPr>
      </w:pPr>
    </w:p>
    <w:p w14:paraId="36F6D17E">
      <w:pPr>
        <w:spacing w:line="200" w:lineRule="atLeast"/>
        <w:jc w:val="center"/>
        <w:rPr>
          <w:rFonts w:hint="eastAsia" w:ascii="宋体" w:hAnsi="宋体" w:cs="宋体"/>
          <w:sz w:val="32"/>
        </w:rPr>
      </w:pPr>
    </w:p>
    <w:p w14:paraId="35CF96EE">
      <w:pPr>
        <w:snapToGrid w:val="0"/>
        <w:spacing w:line="480" w:lineRule="auto"/>
        <w:rPr>
          <w:rFonts w:hint="eastAsia" w:ascii="宋体" w:hAnsi="宋体" w:cs="宋体"/>
          <w:b/>
          <w:sz w:val="30"/>
        </w:rPr>
      </w:pPr>
    </w:p>
    <w:p w14:paraId="77DDFF3A">
      <w:pPr>
        <w:snapToGrid w:val="0"/>
        <w:spacing w:line="480" w:lineRule="auto"/>
        <w:rPr>
          <w:rFonts w:hint="eastAsia" w:ascii="宋体" w:hAnsi="宋体" w:cs="宋体"/>
          <w:b/>
          <w:sz w:val="30"/>
        </w:rPr>
      </w:pPr>
    </w:p>
    <w:p w14:paraId="1A953AF3">
      <w:pPr>
        <w:snapToGrid w:val="0"/>
        <w:spacing w:line="480" w:lineRule="auto"/>
        <w:rPr>
          <w:rFonts w:hint="eastAsia" w:ascii="宋体" w:hAnsi="宋体" w:cs="宋体"/>
          <w:b/>
          <w:sz w:val="30"/>
        </w:rPr>
      </w:pPr>
      <w:r>
        <w:rPr>
          <w:rFonts w:hint="eastAsia" w:ascii="宋体" w:hAnsi="宋体" w:cs="宋体"/>
          <w:b/>
          <w:sz w:val="30"/>
        </w:rPr>
        <w:t>投标人：</w:t>
      </w:r>
      <w:r>
        <w:rPr>
          <w:rFonts w:hint="eastAsia" w:ascii="宋体" w:hAnsi="宋体" w:cs="宋体"/>
          <w:b/>
          <w:sz w:val="30"/>
          <w:u w:val="single"/>
        </w:rPr>
        <w:t xml:space="preserve">       </w:t>
      </w:r>
      <w:r>
        <w:rPr>
          <w:rFonts w:hint="eastAsia" w:ascii="宋体" w:hAnsi="宋体" w:cs="宋体"/>
          <w:b/>
          <w:sz w:val="30"/>
          <w:u w:val="single"/>
        </w:rPr>
        <w:tab/>
      </w:r>
      <w:r>
        <w:rPr>
          <w:rFonts w:hint="eastAsia" w:ascii="宋体" w:hAnsi="宋体" w:cs="宋体"/>
          <w:b/>
          <w:sz w:val="30"/>
          <w:u w:val="single"/>
        </w:rPr>
        <w:t xml:space="preserve">        （盖公章）</w:t>
      </w:r>
    </w:p>
    <w:p w14:paraId="6A033EE3">
      <w:pPr>
        <w:spacing w:line="20" w:lineRule="atLeast"/>
        <w:ind w:right="1320"/>
        <w:rPr>
          <w:rFonts w:hint="eastAsia" w:ascii="宋体" w:hAnsi="宋体" w:cs="宋体"/>
          <w:sz w:val="32"/>
          <w:u w:val="single"/>
        </w:rPr>
      </w:pPr>
      <w:r>
        <w:rPr>
          <w:rFonts w:hint="eastAsia" w:ascii="宋体" w:hAnsi="宋体" w:cs="宋体"/>
          <w:b/>
          <w:sz w:val="30"/>
        </w:rPr>
        <w:t>法定代表人或被授权委托人：</w:t>
      </w:r>
      <w:r>
        <w:rPr>
          <w:rFonts w:hint="eastAsia" w:ascii="宋体" w:hAnsi="宋体" w:cs="宋体"/>
          <w:b/>
          <w:sz w:val="30"/>
          <w:u w:val="single"/>
        </w:rPr>
        <w:t xml:space="preserve">         （签字或盖章）</w:t>
      </w:r>
    </w:p>
    <w:p w14:paraId="199076AA">
      <w:pPr>
        <w:spacing w:line="20" w:lineRule="atLeast"/>
        <w:ind w:right="1320"/>
        <w:rPr>
          <w:rFonts w:hint="eastAsia" w:ascii="宋体" w:hAnsi="宋体" w:cs="宋体"/>
          <w:sz w:val="32"/>
          <w:u w:val="single"/>
        </w:rPr>
      </w:pPr>
    </w:p>
    <w:p w14:paraId="56251652">
      <w:pPr>
        <w:spacing w:line="20" w:lineRule="atLeast"/>
        <w:ind w:right="1320"/>
        <w:rPr>
          <w:rFonts w:hint="eastAsia" w:ascii="宋体" w:hAnsi="宋体" w:cs="宋体"/>
          <w:b/>
          <w:sz w:val="30"/>
        </w:rPr>
      </w:pPr>
      <w:r>
        <w:rPr>
          <w:rFonts w:hint="eastAsia" w:ascii="宋体" w:hAnsi="宋体" w:cs="宋体"/>
          <w:b/>
          <w:sz w:val="30"/>
        </w:rPr>
        <w:t>日期 ：</w:t>
      </w:r>
      <w:r>
        <w:rPr>
          <w:rFonts w:hint="eastAsia" w:ascii="宋体" w:hAnsi="宋体" w:cs="宋体"/>
          <w:b/>
          <w:sz w:val="30"/>
          <w:u w:val="single"/>
        </w:rPr>
        <w:t xml:space="preserve">     </w:t>
      </w:r>
      <w:r>
        <w:rPr>
          <w:rFonts w:hint="eastAsia" w:ascii="宋体" w:hAnsi="宋体" w:cs="宋体"/>
          <w:b/>
          <w:sz w:val="30"/>
        </w:rPr>
        <w:t>年</w:t>
      </w:r>
      <w:r>
        <w:rPr>
          <w:rFonts w:hint="eastAsia" w:ascii="宋体" w:hAnsi="宋体" w:cs="宋体"/>
          <w:b/>
          <w:sz w:val="30"/>
          <w:u w:val="single"/>
        </w:rPr>
        <w:t xml:space="preserve">   </w:t>
      </w:r>
      <w:r>
        <w:rPr>
          <w:rFonts w:hint="eastAsia" w:ascii="宋体" w:hAnsi="宋体" w:cs="宋体"/>
          <w:b/>
          <w:sz w:val="30"/>
        </w:rPr>
        <w:t>月</w:t>
      </w:r>
      <w:r>
        <w:rPr>
          <w:rFonts w:hint="eastAsia" w:ascii="宋体" w:hAnsi="宋体" w:cs="宋体"/>
          <w:b/>
          <w:sz w:val="30"/>
          <w:u w:val="single"/>
        </w:rPr>
        <w:t xml:space="preserve">   </w:t>
      </w:r>
      <w:r>
        <w:rPr>
          <w:rFonts w:hint="eastAsia" w:ascii="宋体" w:hAnsi="宋体" w:cs="宋体"/>
          <w:b/>
          <w:sz w:val="30"/>
        </w:rPr>
        <w:t>日</w:t>
      </w:r>
    </w:p>
    <w:p w14:paraId="67D63B54">
      <w:pPr>
        <w:spacing w:line="460" w:lineRule="exact"/>
        <w:jc w:val="center"/>
        <w:rPr>
          <w:rFonts w:hint="eastAsia" w:ascii="宋体" w:hAnsi="宋体" w:cs="宋体"/>
          <w:b/>
          <w:bCs/>
          <w:sz w:val="30"/>
          <w:szCs w:val="30"/>
        </w:rPr>
      </w:pPr>
    </w:p>
    <w:p w14:paraId="20AEE2CE">
      <w:pPr>
        <w:spacing w:line="460" w:lineRule="exact"/>
        <w:jc w:val="center"/>
        <w:rPr>
          <w:rFonts w:hint="eastAsia" w:ascii="宋体" w:hAnsi="宋体" w:cs="宋体"/>
          <w:b/>
          <w:bCs/>
          <w:sz w:val="30"/>
          <w:szCs w:val="30"/>
        </w:rPr>
      </w:pPr>
    </w:p>
    <w:p w14:paraId="703FB1C7">
      <w:pPr>
        <w:spacing w:line="460" w:lineRule="exact"/>
        <w:jc w:val="center"/>
        <w:rPr>
          <w:rFonts w:hint="eastAsia" w:ascii="宋体" w:hAnsi="宋体" w:cs="宋体"/>
          <w:b/>
          <w:bCs/>
          <w:sz w:val="30"/>
          <w:szCs w:val="30"/>
        </w:rPr>
      </w:pPr>
      <w:r>
        <w:rPr>
          <w:rFonts w:hint="eastAsia" w:ascii="宋体" w:hAnsi="宋体" w:cs="宋体"/>
          <w:b/>
          <w:bCs/>
          <w:sz w:val="30"/>
          <w:szCs w:val="30"/>
        </w:rPr>
        <w:br w:type="page"/>
      </w:r>
      <w:r>
        <w:rPr>
          <w:rFonts w:hint="eastAsia" w:ascii="宋体" w:hAnsi="宋体" w:cs="宋体"/>
          <w:b/>
          <w:bCs/>
          <w:sz w:val="30"/>
          <w:szCs w:val="30"/>
        </w:rPr>
        <w:t>第一部分  商务文件</w:t>
      </w:r>
    </w:p>
    <w:p w14:paraId="5694214B">
      <w:pPr>
        <w:spacing w:line="500" w:lineRule="exact"/>
        <w:jc w:val="center"/>
        <w:rPr>
          <w:rFonts w:hint="eastAsia" w:ascii="宋体" w:hAnsi="宋体" w:cs="宋体"/>
          <w:b/>
          <w:sz w:val="24"/>
        </w:rPr>
      </w:pPr>
      <w:r>
        <w:rPr>
          <w:rFonts w:hint="eastAsia" w:ascii="宋体" w:hAnsi="宋体" w:cs="宋体"/>
          <w:b/>
          <w:sz w:val="24"/>
        </w:rPr>
        <w:t>1.报价书</w:t>
      </w:r>
    </w:p>
    <w:p w14:paraId="0BCE19C8">
      <w:pPr>
        <w:spacing w:line="360" w:lineRule="auto"/>
        <w:rPr>
          <w:rFonts w:hint="eastAsia" w:ascii="宋体" w:hAnsi="宋体" w:cs="宋体"/>
          <w:sz w:val="24"/>
          <w:highlight w:val="none"/>
        </w:rPr>
      </w:pPr>
      <w:r>
        <w:rPr>
          <w:rFonts w:hint="eastAsia" w:ascii="宋体" w:hAnsi="宋体" w:cs="宋体"/>
          <w:sz w:val="24"/>
        </w:rPr>
        <w:t xml:space="preserve">致： </w:t>
      </w:r>
      <w:r>
        <w:rPr>
          <w:rFonts w:hint="eastAsia" w:ascii="宋体" w:hAnsi="宋体" w:cs="宋体"/>
          <w:sz w:val="24"/>
          <w:u w:val="single"/>
        </w:rPr>
        <w:t xml:space="preserve">                </w:t>
      </w:r>
    </w:p>
    <w:p w14:paraId="7CBFD7D5">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经认真分析、领会了贵方提供的项目编号为</w:t>
      </w:r>
      <w:r>
        <w:rPr>
          <w:rFonts w:hint="eastAsia" w:ascii="宋体" w:hAnsi="宋体" w:cs="宋体"/>
          <w:sz w:val="24"/>
          <w:highlight w:val="none"/>
          <w:u w:val="single"/>
        </w:rPr>
        <w:t>TA236628</w:t>
      </w:r>
      <w:r>
        <w:rPr>
          <w:rFonts w:hint="eastAsia" w:ascii="宋体" w:hAnsi="宋体" w:cs="宋体"/>
          <w:sz w:val="24"/>
          <w:highlight w:val="none"/>
        </w:rPr>
        <w:t>的</w:t>
      </w:r>
      <w:r>
        <w:rPr>
          <w:rFonts w:hint="eastAsia" w:ascii="宋体" w:hAnsi="宋体" w:cs="宋体"/>
          <w:sz w:val="24"/>
          <w:highlight w:val="none"/>
          <w:u w:val="single"/>
        </w:rPr>
        <w:t xml:space="preserve">  （项目名称） </w:t>
      </w:r>
      <w:r>
        <w:rPr>
          <w:rFonts w:hint="eastAsia" w:ascii="宋体" w:hAnsi="宋体" w:cs="宋体"/>
          <w:sz w:val="24"/>
          <w:highlight w:val="none"/>
        </w:rPr>
        <w:t>的</w:t>
      </w:r>
      <w:r>
        <w:rPr>
          <w:rFonts w:hint="eastAsia" w:ascii="宋体" w:hAnsi="宋体" w:cs="宋体"/>
          <w:bCs/>
          <w:sz w:val="24"/>
          <w:highlight w:val="none"/>
        </w:rPr>
        <w:t>招</w:t>
      </w:r>
      <w:r>
        <w:rPr>
          <w:rFonts w:hint="eastAsia" w:ascii="宋体" w:hAnsi="宋体" w:cs="宋体"/>
          <w:sz w:val="24"/>
          <w:highlight w:val="none"/>
        </w:rPr>
        <w:t>标文件，我公司在此郑重承诺，愿意按照我公司报送的投标文件确定的技术力量和工作方法，依据贵方招标文件中提出的各项要求，参加本项目服务合同的竞标。提交下述文件正本</w:t>
      </w:r>
      <w:r>
        <w:rPr>
          <w:rFonts w:hint="eastAsia" w:ascii="宋体" w:hAnsi="宋体" w:cs="宋体"/>
          <w:sz w:val="24"/>
          <w:highlight w:val="none"/>
          <w:u w:val="single"/>
        </w:rPr>
        <w:t xml:space="preserve">    </w:t>
      </w:r>
      <w:r>
        <w:rPr>
          <w:rFonts w:hint="eastAsia" w:ascii="宋体" w:hAnsi="宋体" w:cs="宋体"/>
          <w:sz w:val="24"/>
          <w:highlight w:val="none"/>
        </w:rPr>
        <w:t>份、副本</w:t>
      </w:r>
      <w:r>
        <w:rPr>
          <w:rFonts w:hint="eastAsia" w:ascii="宋体" w:hAnsi="宋体" w:cs="宋体"/>
          <w:sz w:val="24"/>
          <w:highlight w:val="none"/>
          <w:u w:val="single"/>
        </w:rPr>
        <w:t xml:space="preserve">    </w:t>
      </w:r>
      <w:r>
        <w:rPr>
          <w:rFonts w:hint="eastAsia" w:ascii="宋体" w:hAnsi="宋体" w:cs="宋体"/>
          <w:sz w:val="24"/>
          <w:highlight w:val="none"/>
        </w:rPr>
        <w:t>份、电子版</w:t>
      </w:r>
      <w:r>
        <w:rPr>
          <w:rFonts w:hint="eastAsia" w:ascii="宋体" w:hAnsi="宋体" w:cs="宋体"/>
          <w:sz w:val="24"/>
          <w:highlight w:val="none"/>
          <w:u w:val="single"/>
        </w:rPr>
        <w:t xml:space="preserve">    </w:t>
      </w:r>
      <w:r>
        <w:rPr>
          <w:rFonts w:hint="eastAsia" w:ascii="宋体" w:hAnsi="宋体" w:cs="宋体"/>
          <w:sz w:val="24"/>
          <w:highlight w:val="none"/>
        </w:rPr>
        <w:t>份。</w:t>
      </w:r>
    </w:p>
    <w:p w14:paraId="66C7FFD6">
      <w:pPr>
        <w:spacing w:line="360" w:lineRule="auto"/>
        <w:ind w:firstLine="480" w:firstLineChars="200"/>
        <w:rPr>
          <w:rFonts w:hint="eastAsia" w:ascii="宋体" w:hAnsi="宋体" w:cs="宋体"/>
          <w:sz w:val="24"/>
        </w:rPr>
      </w:pPr>
      <w:r>
        <w:rPr>
          <w:rFonts w:hint="eastAsia" w:ascii="宋体" w:hAnsi="宋体" w:cs="宋体"/>
          <w:sz w:val="24"/>
        </w:rPr>
        <w:t>据此函，签字代表宣布同意如下：</w:t>
      </w:r>
    </w:p>
    <w:p w14:paraId="21AE9F84">
      <w:pPr>
        <w:numPr>
          <w:ilvl w:val="0"/>
          <w:numId w:val="8"/>
        </w:numPr>
        <w:spacing w:line="360" w:lineRule="auto"/>
        <w:jc w:val="left"/>
        <w:rPr>
          <w:rFonts w:hint="eastAsia" w:ascii="宋体" w:hAnsi="宋体" w:cs="宋体"/>
          <w:sz w:val="24"/>
        </w:rPr>
      </w:pPr>
      <w:r>
        <w:rPr>
          <w:rFonts w:hint="eastAsia" w:ascii="宋体" w:hAnsi="宋体" w:cs="宋体"/>
          <w:sz w:val="24"/>
        </w:rPr>
        <w:t>所附投标报价表中规定的应提供和交付的投标总价为:</w:t>
      </w:r>
    </w:p>
    <w:p w14:paraId="432A5E93">
      <w:pPr>
        <w:spacing w:line="360" w:lineRule="auto"/>
        <w:ind w:left="480"/>
        <w:jc w:val="left"/>
        <w:rPr>
          <w:rFonts w:hint="eastAsia" w:ascii="宋体" w:hAnsi="宋体" w:cs="宋体"/>
          <w:sz w:val="24"/>
        </w:rPr>
      </w:pP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元（人民币），大写</w:t>
      </w:r>
      <w:r>
        <w:rPr>
          <w:rFonts w:hint="eastAsia" w:ascii="宋体" w:hAnsi="宋体" w:cs="宋体"/>
          <w:sz w:val="24"/>
          <w:u w:val="single"/>
        </w:rPr>
        <w:t xml:space="preserve">   </w:t>
      </w:r>
      <w:r>
        <w:rPr>
          <w:rFonts w:hint="eastAsia" w:ascii="宋体" w:hAnsi="宋体" w:cs="宋体"/>
          <w:sz w:val="24"/>
        </w:rPr>
        <w:t>（人民币）。</w:t>
      </w:r>
    </w:p>
    <w:p w14:paraId="4B7AFC27">
      <w:pPr>
        <w:spacing w:line="360" w:lineRule="auto"/>
        <w:ind w:left="480"/>
        <w:jc w:val="left"/>
        <w:rPr>
          <w:rFonts w:hint="eastAsia" w:ascii="宋体" w:hAnsi="宋体" w:cs="宋体"/>
          <w:sz w:val="24"/>
          <w:u w:val="single"/>
        </w:rPr>
      </w:pPr>
      <w:r>
        <w:rPr>
          <w:rFonts w:hint="eastAsia" w:ascii="宋体" w:hAnsi="宋体" w:cs="宋体"/>
          <w:sz w:val="24"/>
        </w:rPr>
        <w:t>2．工程期限：</w:t>
      </w:r>
      <w:r>
        <w:rPr>
          <w:rFonts w:hint="eastAsia" w:ascii="宋体" w:hAnsi="宋体" w:cs="宋体"/>
          <w:sz w:val="24"/>
          <w:u w:val="single"/>
        </w:rPr>
        <w:t xml:space="preserve">    </w:t>
      </w:r>
    </w:p>
    <w:p w14:paraId="48283A56">
      <w:pPr>
        <w:spacing w:line="360" w:lineRule="auto"/>
        <w:rPr>
          <w:rFonts w:hint="eastAsia" w:ascii="宋体" w:hAnsi="宋体" w:cs="宋体"/>
          <w:sz w:val="24"/>
        </w:rPr>
      </w:pPr>
      <w:r>
        <w:rPr>
          <w:rFonts w:hint="eastAsia" w:ascii="宋体" w:hAnsi="宋体" w:cs="宋体"/>
          <w:sz w:val="24"/>
        </w:rPr>
        <w:t xml:space="preserve">    3.投标人将按招标文件的规定履行合同责任和义务。</w:t>
      </w:r>
    </w:p>
    <w:p w14:paraId="4A52CABC">
      <w:pPr>
        <w:spacing w:line="360" w:lineRule="auto"/>
        <w:rPr>
          <w:rFonts w:hint="eastAsia" w:ascii="宋体" w:hAnsi="宋体" w:cs="宋体"/>
          <w:sz w:val="24"/>
        </w:rPr>
      </w:pPr>
      <w:r>
        <w:rPr>
          <w:rFonts w:hint="eastAsia" w:ascii="宋体" w:hAnsi="宋体" w:cs="宋体"/>
          <w:sz w:val="24"/>
        </w:rPr>
        <w:t xml:space="preserve">    4.投标人已详细审查全部招标文件，包括修改文件以及全部参考资料和所有附件。我们完全理解并同意放弃对这方面有不明及误解的权利。</w:t>
      </w:r>
    </w:p>
    <w:p w14:paraId="653871CD">
      <w:pPr>
        <w:spacing w:line="360" w:lineRule="auto"/>
        <w:rPr>
          <w:rFonts w:hint="eastAsia" w:ascii="宋体" w:hAnsi="宋体" w:cs="宋体"/>
          <w:sz w:val="24"/>
        </w:rPr>
      </w:pPr>
      <w:r>
        <w:rPr>
          <w:rFonts w:hint="eastAsia" w:ascii="宋体" w:hAnsi="宋体" w:cs="宋体"/>
          <w:sz w:val="24"/>
        </w:rPr>
        <w:t xml:space="preserve">    5.本投标自开标之日起有效期为</w:t>
      </w:r>
      <w:r>
        <w:rPr>
          <w:rFonts w:hint="eastAsia" w:ascii="宋体" w:hAnsi="宋体" w:cs="宋体"/>
          <w:sz w:val="24"/>
          <w:u w:val="single"/>
        </w:rPr>
        <w:t xml:space="preserve">   </w:t>
      </w:r>
      <w:r>
        <w:rPr>
          <w:rFonts w:hint="eastAsia" w:ascii="宋体" w:hAnsi="宋体" w:cs="宋体"/>
          <w:sz w:val="24"/>
        </w:rPr>
        <w:t>日。</w:t>
      </w:r>
    </w:p>
    <w:p w14:paraId="4172A7B4">
      <w:pPr>
        <w:spacing w:line="360" w:lineRule="auto"/>
        <w:rPr>
          <w:rFonts w:hint="eastAsia" w:ascii="宋体" w:hAnsi="宋体" w:cs="宋体"/>
          <w:sz w:val="24"/>
        </w:rPr>
      </w:pPr>
      <w:r>
        <w:rPr>
          <w:rFonts w:hint="eastAsia" w:ascii="宋体" w:hAnsi="宋体" w:cs="宋体"/>
          <w:sz w:val="24"/>
        </w:rPr>
        <w:t xml:space="preserve">    6.如果在规定的开标时间后，投标人在投标有效期内撤回投标，其投标保证金将被采购人没收。</w:t>
      </w:r>
    </w:p>
    <w:p w14:paraId="6698833F">
      <w:pPr>
        <w:spacing w:line="360" w:lineRule="auto"/>
        <w:ind w:firstLine="480" w:firstLineChars="200"/>
        <w:rPr>
          <w:rFonts w:hint="eastAsia" w:ascii="宋体" w:hAnsi="宋体" w:cs="宋体"/>
          <w:sz w:val="24"/>
        </w:rPr>
      </w:pPr>
      <w:r>
        <w:rPr>
          <w:rFonts w:hint="eastAsia" w:ascii="宋体" w:hAnsi="宋体" w:cs="宋体"/>
          <w:sz w:val="24"/>
        </w:rPr>
        <w:t>7.投标人同意提供按照采购人可能要求的与其投标有关的一切数据或资料，完全理解采购人不一定要接受最低价的投标或收到的任何投标。</w:t>
      </w:r>
    </w:p>
    <w:p w14:paraId="03F00672">
      <w:pPr>
        <w:spacing w:line="360" w:lineRule="auto"/>
        <w:rPr>
          <w:rFonts w:hint="eastAsia" w:ascii="宋体" w:hAnsi="宋体" w:cs="宋体"/>
          <w:sz w:val="24"/>
        </w:rPr>
      </w:pPr>
      <w:r>
        <w:rPr>
          <w:rFonts w:hint="eastAsia" w:ascii="宋体" w:hAnsi="宋体" w:cs="宋体"/>
          <w:sz w:val="24"/>
        </w:rPr>
        <w:t>与本投标有关的一切正式往来通讯请寄：</w:t>
      </w:r>
    </w:p>
    <w:p w14:paraId="2A33EEE0">
      <w:pPr>
        <w:spacing w:line="360" w:lineRule="auto"/>
        <w:rPr>
          <w:rFonts w:hint="eastAsia" w:ascii="宋体" w:hAnsi="宋体" w:cs="宋体"/>
          <w:sz w:val="24"/>
        </w:rPr>
      </w:pPr>
      <w:r>
        <w:rPr>
          <w:rFonts w:hint="eastAsia" w:ascii="宋体" w:hAnsi="宋体" w:cs="宋体"/>
          <w:sz w:val="24"/>
        </w:rPr>
        <w:t>地址：</w:t>
      </w:r>
    </w:p>
    <w:p w14:paraId="255FC857">
      <w:pPr>
        <w:spacing w:line="360" w:lineRule="auto"/>
        <w:rPr>
          <w:rFonts w:hint="eastAsia" w:ascii="宋体" w:hAnsi="宋体" w:cs="宋体"/>
          <w:sz w:val="24"/>
        </w:rPr>
      </w:pPr>
      <w:r>
        <w:rPr>
          <w:rFonts w:hint="eastAsia" w:ascii="宋体" w:hAnsi="宋体" w:cs="宋体"/>
          <w:sz w:val="24"/>
        </w:rPr>
        <w:t>邮政编码：</w:t>
      </w:r>
    </w:p>
    <w:p w14:paraId="66957796">
      <w:pPr>
        <w:spacing w:line="360" w:lineRule="auto"/>
        <w:rPr>
          <w:rFonts w:hint="eastAsia" w:ascii="宋体" w:hAnsi="宋体" w:cs="宋体"/>
          <w:sz w:val="24"/>
        </w:rPr>
      </w:pPr>
      <w:r>
        <w:rPr>
          <w:rFonts w:hint="eastAsia" w:ascii="宋体" w:hAnsi="宋体" w:cs="宋体"/>
          <w:sz w:val="24"/>
        </w:rPr>
        <w:t>电话：</w:t>
      </w:r>
    </w:p>
    <w:p w14:paraId="0F19A85C">
      <w:pPr>
        <w:spacing w:line="360" w:lineRule="auto"/>
        <w:rPr>
          <w:rFonts w:hint="eastAsia" w:ascii="宋体" w:hAnsi="宋体" w:cs="宋体"/>
          <w:sz w:val="24"/>
        </w:rPr>
      </w:pPr>
      <w:r>
        <w:rPr>
          <w:rFonts w:hint="eastAsia" w:ascii="宋体" w:hAnsi="宋体" w:cs="宋体"/>
          <w:sz w:val="24"/>
        </w:rPr>
        <w:t>传真：</w:t>
      </w:r>
    </w:p>
    <w:p w14:paraId="665C965B">
      <w:pPr>
        <w:spacing w:line="360" w:lineRule="auto"/>
        <w:rPr>
          <w:rFonts w:hint="eastAsia" w:ascii="宋体" w:hAnsi="宋体" w:cs="宋体"/>
          <w:sz w:val="24"/>
        </w:rPr>
      </w:pPr>
      <w:r>
        <w:rPr>
          <w:rFonts w:hint="eastAsia" w:ascii="宋体" w:hAnsi="宋体" w:cs="宋体"/>
          <w:sz w:val="24"/>
        </w:rPr>
        <w:t>投标人代表姓名：职务：经理</w:t>
      </w:r>
    </w:p>
    <w:p w14:paraId="0900FF19">
      <w:pPr>
        <w:spacing w:line="360" w:lineRule="auto"/>
        <w:rPr>
          <w:rFonts w:hint="eastAsia" w:ascii="宋体" w:hAnsi="宋体" w:cs="宋体"/>
          <w:sz w:val="24"/>
        </w:rPr>
      </w:pPr>
      <w:r>
        <w:rPr>
          <w:rFonts w:hint="eastAsia" w:ascii="宋体" w:hAnsi="宋体" w:cs="宋体"/>
          <w:sz w:val="24"/>
        </w:rPr>
        <w:t>投标人名称：</w:t>
      </w:r>
    </w:p>
    <w:p w14:paraId="064713FD">
      <w:pPr>
        <w:spacing w:line="360" w:lineRule="auto"/>
        <w:rPr>
          <w:rFonts w:hint="eastAsia" w:ascii="宋体" w:hAnsi="宋体" w:cs="宋体"/>
          <w:sz w:val="24"/>
        </w:rPr>
      </w:pPr>
      <w:r>
        <w:rPr>
          <w:rFonts w:hint="eastAsia" w:ascii="宋体" w:hAnsi="宋体" w:cs="宋体"/>
          <w:sz w:val="24"/>
        </w:rPr>
        <w:t>（公章）</w:t>
      </w:r>
    </w:p>
    <w:p w14:paraId="6FD68356">
      <w:pPr>
        <w:spacing w:line="360" w:lineRule="auto"/>
        <w:rPr>
          <w:rFonts w:hint="eastAsia" w:ascii="宋体" w:hAnsi="宋体" w:cs="宋体"/>
          <w:sz w:val="24"/>
        </w:rPr>
      </w:pPr>
      <w:r>
        <w:rPr>
          <w:rFonts w:hint="eastAsia" w:ascii="宋体" w:hAnsi="宋体" w:cs="宋体"/>
          <w:sz w:val="24"/>
        </w:rPr>
        <w:t>日期：年月日</w:t>
      </w:r>
    </w:p>
    <w:p w14:paraId="13795D73">
      <w:pPr>
        <w:spacing w:line="560" w:lineRule="exact"/>
        <w:rPr>
          <w:rFonts w:hint="eastAsia" w:ascii="宋体" w:hAnsi="宋体" w:cs="宋体"/>
          <w:sz w:val="24"/>
        </w:rPr>
      </w:pPr>
      <w:r>
        <w:rPr>
          <w:rFonts w:hint="eastAsia" w:ascii="宋体" w:hAnsi="宋体" w:cs="宋体"/>
          <w:sz w:val="24"/>
        </w:rPr>
        <w:t>投标人代表签字：</w:t>
      </w:r>
    </w:p>
    <w:p w14:paraId="3202CB23">
      <w:pPr>
        <w:spacing w:line="460" w:lineRule="exact"/>
        <w:jc w:val="center"/>
        <w:rPr>
          <w:rFonts w:hint="eastAsia" w:ascii="宋体" w:hAnsi="宋体" w:cs="宋体"/>
          <w:b/>
          <w:sz w:val="24"/>
        </w:rPr>
      </w:pPr>
      <w:r>
        <w:rPr>
          <w:rFonts w:hint="eastAsia" w:ascii="宋体" w:hAnsi="宋体" w:cs="宋体"/>
          <w:b/>
          <w:sz w:val="24"/>
        </w:rPr>
        <w:t>2. 报价一览表</w:t>
      </w:r>
    </w:p>
    <w:p w14:paraId="3037C6B2">
      <w:pPr>
        <w:spacing w:line="460" w:lineRule="exact"/>
        <w:rPr>
          <w:rFonts w:hint="eastAsia" w:ascii="宋体" w:hAnsi="宋体" w:cs="宋体"/>
          <w:b/>
          <w:sz w:val="24"/>
        </w:rPr>
      </w:pPr>
    </w:p>
    <w:p w14:paraId="66CE715B">
      <w:pPr>
        <w:spacing w:line="360" w:lineRule="auto"/>
        <w:rPr>
          <w:rFonts w:hint="eastAsia" w:ascii="宋体" w:hAnsi="宋体" w:cs="宋体"/>
          <w:b/>
          <w:sz w:val="24"/>
        </w:rPr>
      </w:pPr>
      <w:r>
        <w:rPr>
          <w:rFonts w:hint="eastAsia" w:ascii="宋体" w:hAnsi="宋体" w:cs="宋体"/>
          <w:b/>
          <w:sz w:val="24"/>
        </w:rPr>
        <w:t xml:space="preserve">  </w:t>
      </w: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b/>
          <w:sz w:val="24"/>
        </w:rPr>
        <w:t xml:space="preserve">            </w:t>
      </w:r>
    </w:p>
    <w:p w14:paraId="18DF8FF8">
      <w:pPr>
        <w:pStyle w:val="76"/>
        <w:tabs>
          <w:tab w:val="left" w:pos="360"/>
        </w:tabs>
        <w:spacing w:line="460" w:lineRule="exact"/>
        <w:ind w:firstLine="241" w:firstLineChars="100"/>
        <w:rPr>
          <w:rFonts w:hint="eastAsia" w:ascii="宋体" w:hAnsi="宋体" w:eastAsia="宋体" w:cs="宋体"/>
          <w:color w:val="auto"/>
        </w:rPr>
      </w:pPr>
      <w:r>
        <w:rPr>
          <w:rFonts w:hint="eastAsia" w:ascii="宋体" w:hAnsi="宋体" w:eastAsia="宋体" w:cs="宋体"/>
          <w:b/>
          <w:color w:val="auto"/>
        </w:rPr>
        <w:t xml:space="preserve">        </w:t>
      </w:r>
    </w:p>
    <w:p w14:paraId="53A2E3C0">
      <w:pPr>
        <w:pStyle w:val="76"/>
        <w:ind w:right="480" w:firstLine="480"/>
        <w:jc w:val="right"/>
        <w:rPr>
          <w:rFonts w:hint="eastAsia" w:ascii="宋体" w:hAnsi="宋体" w:eastAsia="宋体" w:cs="宋体"/>
          <w:color w:val="auto"/>
          <w:lang w:val="zh-TW"/>
        </w:rPr>
      </w:pPr>
      <w:r>
        <w:rPr>
          <w:rFonts w:hint="eastAsia" w:ascii="宋体" w:hAnsi="宋体" w:eastAsia="宋体" w:cs="宋体"/>
          <w:color w:val="auto"/>
          <w:lang w:val="zh-TW" w:eastAsia="zh-TW"/>
        </w:rPr>
        <w:t xml:space="preserve">单位：元  </w:t>
      </w:r>
    </w:p>
    <w:tbl>
      <w:tblPr>
        <w:tblStyle w:val="40"/>
        <w:tblW w:w="8670" w:type="dxa"/>
        <w:tblInd w:w="93" w:type="dxa"/>
        <w:tblLayout w:type="autofit"/>
        <w:tblCellMar>
          <w:top w:w="0" w:type="dxa"/>
          <w:left w:w="108" w:type="dxa"/>
          <w:bottom w:w="0" w:type="dxa"/>
          <w:right w:w="108" w:type="dxa"/>
        </w:tblCellMar>
      </w:tblPr>
      <w:tblGrid>
        <w:gridCol w:w="894"/>
        <w:gridCol w:w="1296"/>
        <w:gridCol w:w="1296"/>
        <w:gridCol w:w="1296"/>
        <w:gridCol w:w="1296"/>
        <w:gridCol w:w="1296"/>
        <w:gridCol w:w="1296"/>
      </w:tblGrid>
      <w:tr w14:paraId="7512EC7C">
        <w:tblPrEx>
          <w:tblCellMar>
            <w:top w:w="0" w:type="dxa"/>
            <w:left w:w="108" w:type="dxa"/>
            <w:bottom w:w="0" w:type="dxa"/>
            <w:right w:w="108" w:type="dxa"/>
          </w:tblCellMar>
        </w:tblPrEx>
        <w:trPr>
          <w:trHeight w:val="78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B08219B">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序号</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71FDFD84">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清单名称</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37F3925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规格型号</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642B25C">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单位</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17C12C38">
            <w:pPr>
              <w:widowControl/>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数量</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68CA2E0B">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单价</w:t>
            </w:r>
          </w:p>
        </w:tc>
        <w:tc>
          <w:tcPr>
            <w:tcW w:w="1296" w:type="dxa"/>
            <w:tcBorders>
              <w:top w:val="single" w:color="000000" w:sz="4" w:space="0"/>
              <w:left w:val="single" w:color="000000" w:sz="4" w:space="0"/>
              <w:bottom w:val="single" w:color="000000" w:sz="4" w:space="0"/>
              <w:right w:val="single" w:color="000000" w:sz="4" w:space="0"/>
            </w:tcBorders>
            <w:noWrap/>
            <w:vAlign w:val="center"/>
          </w:tcPr>
          <w:p w14:paraId="2F5543B3">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总价</w:t>
            </w:r>
          </w:p>
        </w:tc>
      </w:tr>
      <w:tr w14:paraId="61C93555">
        <w:tblPrEx>
          <w:tblCellMar>
            <w:top w:w="0" w:type="dxa"/>
            <w:left w:w="108" w:type="dxa"/>
            <w:bottom w:w="0" w:type="dxa"/>
            <w:right w:w="108" w:type="dxa"/>
          </w:tblCellMar>
        </w:tblPrEx>
        <w:trPr>
          <w:trHeight w:val="780" w:hRule="atLeast"/>
        </w:trPr>
        <w:tc>
          <w:tcPr>
            <w:tcW w:w="894" w:type="dxa"/>
            <w:tcBorders>
              <w:top w:val="single" w:color="000000" w:sz="4" w:space="0"/>
              <w:left w:val="single" w:color="000000" w:sz="4" w:space="0"/>
              <w:bottom w:val="single" w:color="000000" w:sz="4" w:space="0"/>
              <w:right w:val="single" w:color="000000" w:sz="4" w:space="0"/>
            </w:tcBorders>
            <w:vAlign w:val="center"/>
          </w:tcPr>
          <w:p w14:paraId="720755AB">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1E6E6E72">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D8FBF7E">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5EB20177">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6DEF1103">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76C97AE">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6C039DCA">
            <w:pPr>
              <w:widowControl/>
              <w:jc w:val="center"/>
              <w:textAlignment w:val="center"/>
              <w:rPr>
                <w:rFonts w:hint="eastAsia" w:ascii="宋体" w:hAnsi="宋体" w:cs="宋体"/>
                <w:color w:val="000000"/>
                <w:kern w:val="0"/>
                <w:sz w:val="22"/>
                <w:szCs w:val="22"/>
                <w:lang w:bidi="ar"/>
              </w:rPr>
            </w:pPr>
          </w:p>
        </w:tc>
      </w:tr>
      <w:tr w14:paraId="47018871">
        <w:tblPrEx>
          <w:tblCellMar>
            <w:top w:w="0" w:type="dxa"/>
            <w:left w:w="108" w:type="dxa"/>
            <w:bottom w:w="0" w:type="dxa"/>
            <w:right w:w="108" w:type="dxa"/>
          </w:tblCellMar>
        </w:tblPrEx>
        <w:trPr>
          <w:trHeight w:val="78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7F0FEDE5">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2126593D">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573A3421">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6EEEADF4">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55944CEB">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3557C723">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37F558C">
            <w:pPr>
              <w:widowControl/>
              <w:jc w:val="center"/>
              <w:textAlignment w:val="center"/>
              <w:rPr>
                <w:rFonts w:hint="eastAsia" w:ascii="宋体" w:hAnsi="宋体" w:cs="宋体"/>
                <w:color w:val="000000"/>
                <w:kern w:val="0"/>
                <w:sz w:val="22"/>
                <w:szCs w:val="22"/>
                <w:lang w:bidi="ar"/>
              </w:rPr>
            </w:pPr>
          </w:p>
        </w:tc>
      </w:tr>
      <w:tr w14:paraId="560F7E13">
        <w:tblPrEx>
          <w:tblCellMar>
            <w:top w:w="0" w:type="dxa"/>
            <w:left w:w="108" w:type="dxa"/>
            <w:bottom w:w="0" w:type="dxa"/>
            <w:right w:w="108" w:type="dxa"/>
          </w:tblCellMar>
        </w:tblPrEx>
        <w:trPr>
          <w:trHeight w:val="780" w:hRule="atLeast"/>
        </w:trPr>
        <w:tc>
          <w:tcPr>
            <w:tcW w:w="894" w:type="dxa"/>
            <w:tcBorders>
              <w:top w:val="single" w:color="000000" w:sz="4" w:space="0"/>
              <w:left w:val="single" w:color="000000" w:sz="4" w:space="0"/>
              <w:bottom w:val="single" w:color="000000" w:sz="4" w:space="0"/>
              <w:right w:val="single" w:color="000000" w:sz="4" w:space="0"/>
            </w:tcBorders>
            <w:vAlign w:val="center"/>
          </w:tcPr>
          <w:p w14:paraId="20DC33D0">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3ABC8775">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6DA5659F">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7D3887F5">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7CC4C44D">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23ABB962">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DF39E60">
            <w:pPr>
              <w:widowControl/>
              <w:jc w:val="center"/>
              <w:textAlignment w:val="center"/>
              <w:rPr>
                <w:rFonts w:hint="eastAsia" w:ascii="宋体" w:hAnsi="宋体" w:cs="宋体"/>
                <w:color w:val="000000"/>
                <w:kern w:val="0"/>
                <w:sz w:val="22"/>
                <w:szCs w:val="22"/>
                <w:lang w:bidi="ar"/>
              </w:rPr>
            </w:pPr>
          </w:p>
        </w:tc>
      </w:tr>
      <w:tr w14:paraId="70568E60">
        <w:tblPrEx>
          <w:tblCellMar>
            <w:top w:w="0" w:type="dxa"/>
            <w:left w:w="108" w:type="dxa"/>
            <w:bottom w:w="0" w:type="dxa"/>
            <w:right w:w="108" w:type="dxa"/>
          </w:tblCellMar>
        </w:tblPrEx>
        <w:trPr>
          <w:trHeight w:val="780" w:hRule="atLeast"/>
        </w:trPr>
        <w:tc>
          <w:tcPr>
            <w:tcW w:w="894" w:type="dxa"/>
            <w:tcBorders>
              <w:top w:val="single" w:color="000000" w:sz="4" w:space="0"/>
              <w:left w:val="single" w:color="000000" w:sz="4" w:space="0"/>
              <w:bottom w:val="single" w:color="000000" w:sz="4" w:space="0"/>
              <w:right w:val="single" w:color="000000" w:sz="4" w:space="0"/>
            </w:tcBorders>
            <w:noWrap/>
            <w:vAlign w:val="center"/>
          </w:tcPr>
          <w:p w14:paraId="2B647765">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48452506">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1FAA2E06">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5EB463A9">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49602F2C">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9FE9097">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5FDB006">
            <w:pPr>
              <w:widowControl/>
              <w:jc w:val="center"/>
              <w:textAlignment w:val="center"/>
              <w:rPr>
                <w:rFonts w:hint="eastAsia" w:ascii="宋体" w:hAnsi="宋体" w:cs="宋体"/>
                <w:color w:val="000000"/>
                <w:kern w:val="0"/>
                <w:sz w:val="22"/>
                <w:szCs w:val="22"/>
                <w:lang w:bidi="ar"/>
              </w:rPr>
            </w:pPr>
          </w:p>
        </w:tc>
      </w:tr>
      <w:tr w14:paraId="47B3F074">
        <w:tblPrEx>
          <w:tblCellMar>
            <w:top w:w="0" w:type="dxa"/>
            <w:left w:w="108" w:type="dxa"/>
            <w:bottom w:w="0" w:type="dxa"/>
            <w:right w:w="108" w:type="dxa"/>
          </w:tblCellMar>
        </w:tblPrEx>
        <w:trPr>
          <w:trHeight w:val="780" w:hRule="atLeast"/>
        </w:trPr>
        <w:tc>
          <w:tcPr>
            <w:tcW w:w="894" w:type="dxa"/>
            <w:tcBorders>
              <w:top w:val="single" w:color="000000" w:sz="4" w:space="0"/>
              <w:left w:val="single" w:color="000000" w:sz="4" w:space="0"/>
              <w:bottom w:val="single" w:color="000000" w:sz="4" w:space="0"/>
              <w:right w:val="single" w:color="000000" w:sz="4" w:space="0"/>
            </w:tcBorders>
            <w:vAlign w:val="center"/>
          </w:tcPr>
          <w:p w14:paraId="43A0DB8E">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D13B8F8">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48ABC887">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0138B2FF">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77378CD7">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29231AC1">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42C62CDD">
            <w:pPr>
              <w:widowControl/>
              <w:jc w:val="center"/>
              <w:textAlignment w:val="center"/>
              <w:rPr>
                <w:rFonts w:hint="eastAsia" w:ascii="宋体" w:hAnsi="宋体" w:cs="宋体"/>
                <w:color w:val="000000"/>
                <w:kern w:val="0"/>
                <w:sz w:val="18"/>
                <w:szCs w:val="18"/>
                <w:lang w:bidi="ar"/>
              </w:rPr>
            </w:pPr>
          </w:p>
        </w:tc>
      </w:tr>
      <w:tr w14:paraId="718A5074">
        <w:tblPrEx>
          <w:tblCellMar>
            <w:top w:w="0" w:type="dxa"/>
            <w:left w:w="108" w:type="dxa"/>
            <w:bottom w:w="0" w:type="dxa"/>
            <w:right w:w="108" w:type="dxa"/>
          </w:tblCellMar>
        </w:tblPrEx>
        <w:trPr>
          <w:trHeight w:val="780" w:hRule="atLeast"/>
        </w:trPr>
        <w:tc>
          <w:tcPr>
            <w:tcW w:w="894" w:type="dxa"/>
            <w:tcBorders>
              <w:top w:val="single" w:color="000000" w:sz="4" w:space="0"/>
              <w:left w:val="single" w:color="000000" w:sz="4" w:space="0"/>
              <w:bottom w:val="single" w:color="000000" w:sz="4" w:space="0"/>
              <w:right w:val="single" w:color="000000" w:sz="4" w:space="0"/>
            </w:tcBorders>
            <w:vAlign w:val="center"/>
          </w:tcPr>
          <w:p w14:paraId="5D1C67A2">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25C0955C">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682EA64A">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60AE43BE">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1869A837">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286717CE">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1608FACD">
            <w:pPr>
              <w:widowControl/>
              <w:jc w:val="center"/>
              <w:textAlignment w:val="center"/>
              <w:rPr>
                <w:rFonts w:hint="eastAsia" w:ascii="宋体" w:hAnsi="宋体" w:cs="宋体"/>
                <w:color w:val="000000"/>
                <w:kern w:val="0"/>
                <w:sz w:val="18"/>
                <w:szCs w:val="18"/>
                <w:lang w:bidi="ar"/>
              </w:rPr>
            </w:pPr>
          </w:p>
        </w:tc>
      </w:tr>
      <w:tr w14:paraId="6D723A77">
        <w:tblPrEx>
          <w:tblCellMar>
            <w:top w:w="0" w:type="dxa"/>
            <w:left w:w="108" w:type="dxa"/>
            <w:bottom w:w="0" w:type="dxa"/>
            <w:right w:w="108" w:type="dxa"/>
          </w:tblCellMar>
        </w:tblPrEx>
        <w:trPr>
          <w:trHeight w:val="780" w:hRule="atLeast"/>
        </w:trPr>
        <w:tc>
          <w:tcPr>
            <w:tcW w:w="894" w:type="dxa"/>
            <w:tcBorders>
              <w:top w:val="single" w:color="000000" w:sz="4" w:space="0"/>
              <w:left w:val="single" w:color="000000" w:sz="4" w:space="0"/>
              <w:bottom w:val="single" w:color="000000" w:sz="4" w:space="0"/>
              <w:right w:val="single" w:color="000000" w:sz="4" w:space="0"/>
            </w:tcBorders>
            <w:vAlign w:val="center"/>
          </w:tcPr>
          <w:p w14:paraId="623D6501">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6858C2BC">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30338B4D">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4473DD1E">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2BF6A111">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2F8DC27F">
            <w:pPr>
              <w:widowControl/>
              <w:jc w:val="center"/>
              <w:textAlignment w:val="center"/>
              <w:rPr>
                <w:rFonts w:hint="eastAsia" w:ascii="宋体" w:hAnsi="宋体" w:cs="宋体"/>
                <w:color w:val="000000"/>
                <w:kern w:val="0"/>
                <w:sz w:val="22"/>
                <w:szCs w:val="22"/>
                <w:lang w:bidi="ar"/>
              </w:rPr>
            </w:pPr>
          </w:p>
        </w:tc>
        <w:tc>
          <w:tcPr>
            <w:tcW w:w="1296" w:type="dxa"/>
            <w:tcBorders>
              <w:top w:val="single" w:color="000000" w:sz="4" w:space="0"/>
              <w:left w:val="single" w:color="000000" w:sz="4" w:space="0"/>
              <w:bottom w:val="single" w:color="000000" w:sz="4" w:space="0"/>
              <w:right w:val="single" w:color="000000" w:sz="4" w:space="0"/>
            </w:tcBorders>
            <w:vAlign w:val="center"/>
          </w:tcPr>
          <w:p w14:paraId="6C6B5A40">
            <w:pPr>
              <w:widowControl/>
              <w:jc w:val="center"/>
              <w:textAlignment w:val="center"/>
              <w:rPr>
                <w:rFonts w:hint="eastAsia" w:ascii="宋体" w:hAnsi="宋体" w:cs="宋体"/>
                <w:color w:val="000000"/>
                <w:kern w:val="0"/>
                <w:sz w:val="18"/>
                <w:szCs w:val="18"/>
                <w:lang w:bidi="ar"/>
              </w:rPr>
            </w:pPr>
          </w:p>
        </w:tc>
      </w:tr>
      <w:tr w14:paraId="1811EC14">
        <w:tblPrEx>
          <w:tblCellMar>
            <w:top w:w="0" w:type="dxa"/>
            <w:left w:w="108" w:type="dxa"/>
            <w:bottom w:w="0" w:type="dxa"/>
            <w:right w:w="108" w:type="dxa"/>
          </w:tblCellMar>
        </w:tblPrEx>
        <w:trPr>
          <w:trHeight w:val="780" w:hRule="atLeast"/>
        </w:trPr>
        <w:tc>
          <w:tcPr>
            <w:tcW w:w="7374" w:type="dxa"/>
            <w:gridSpan w:val="6"/>
            <w:tcBorders>
              <w:top w:val="single" w:color="000000" w:sz="4" w:space="0"/>
              <w:left w:val="single" w:color="000000" w:sz="4" w:space="0"/>
              <w:bottom w:val="single" w:color="000000" w:sz="4" w:space="0"/>
              <w:right w:val="single" w:color="000000" w:sz="4" w:space="0"/>
            </w:tcBorders>
            <w:vAlign w:val="center"/>
          </w:tcPr>
          <w:p w14:paraId="5239D2C0">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合计</w:t>
            </w:r>
          </w:p>
        </w:tc>
        <w:tc>
          <w:tcPr>
            <w:tcW w:w="1296" w:type="dxa"/>
            <w:tcBorders>
              <w:top w:val="single" w:color="000000" w:sz="4" w:space="0"/>
              <w:left w:val="single" w:color="000000" w:sz="4" w:space="0"/>
              <w:bottom w:val="single" w:color="000000" w:sz="4" w:space="0"/>
              <w:right w:val="single" w:color="000000" w:sz="4" w:space="0"/>
            </w:tcBorders>
            <w:vAlign w:val="center"/>
          </w:tcPr>
          <w:p w14:paraId="0F5702C5">
            <w:pPr>
              <w:widowControl/>
              <w:jc w:val="center"/>
              <w:textAlignment w:val="center"/>
              <w:rPr>
                <w:rFonts w:hint="eastAsia" w:ascii="宋体" w:hAnsi="宋体" w:cs="宋体"/>
                <w:color w:val="000000"/>
                <w:kern w:val="0"/>
                <w:sz w:val="18"/>
                <w:szCs w:val="18"/>
                <w:lang w:bidi="ar"/>
              </w:rPr>
            </w:pPr>
          </w:p>
        </w:tc>
      </w:tr>
    </w:tbl>
    <w:p w14:paraId="029A6AB3">
      <w:pPr>
        <w:pStyle w:val="76"/>
        <w:ind w:firstLine="480"/>
        <w:rPr>
          <w:rFonts w:hint="eastAsia" w:ascii="宋体" w:hAnsi="宋体" w:eastAsia="宋体" w:cs="宋体"/>
          <w:b/>
          <w:bCs/>
          <w:color w:val="auto"/>
        </w:rPr>
      </w:pPr>
      <w:r>
        <w:rPr>
          <w:rFonts w:hint="eastAsia"/>
        </w:rPr>
        <w:t>备注：以上金额，保留两位小数。</w:t>
      </w:r>
      <w:r>
        <w:rPr>
          <w:rFonts w:hint="eastAsia" w:cs="宋体"/>
        </w:rPr>
        <w:t>所含价格包括增值税</w:t>
      </w:r>
      <w:r>
        <w:rPr>
          <w:rFonts w:hint="eastAsia" w:eastAsia="宋体" w:cs="宋体"/>
        </w:rPr>
        <w:t>，及机械设备进出场费用。</w:t>
      </w:r>
    </w:p>
    <w:p w14:paraId="78FC07AD">
      <w:pPr>
        <w:pStyle w:val="76"/>
        <w:ind w:firstLine="480"/>
        <w:rPr>
          <w:rFonts w:hint="eastAsia" w:ascii="宋体" w:hAnsi="宋体" w:eastAsia="宋体" w:cs="宋体"/>
          <w:color w:val="auto"/>
          <w:lang w:val="zh-TW"/>
        </w:rPr>
      </w:pPr>
    </w:p>
    <w:p w14:paraId="77BF6FF5">
      <w:pPr>
        <w:pStyle w:val="76"/>
        <w:ind w:firstLine="240" w:firstLineChars="100"/>
        <w:rPr>
          <w:rFonts w:hint="eastAsia" w:ascii="宋体" w:hAnsi="宋体" w:eastAsia="宋体" w:cs="宋体"/>
          <w:color w:val="auto"/>
          <w:lang w:val="zh-TW"/>
        </w:rPr>
      </w:pPr>
      <w:r>
        <w:rPr>
          <w:rFonts w:hint="eastAsia" w:ascii="宋体" w:hAnsi="宋体" w:eastAsia="宋体" w:cs="宋体"/>
          <w:color w:val="auto"/>
          <w:lang w:val="zh-TW"/>
        </w:rPr>
        <w:t>合计总价：</w:t>
      </w:r>
      <w:r>
        <w:rPr>
          <w:rFonts w:hint="eastAsia" w:ascii="宋体" w:hAnsi="宋体" w:cs="宋体"/>
          <w:color w:val="auto"/>
        </w:rPr>
        <w:t>______________________</w:t>
      </w:r>
      <w:r>
        <w:rPr>
          <w:rFonts w:hint="eastAsia" w:ascii="宋体" w:hAnsi="宋体" w:eastAsia="宋体" w:cs="宋体"/>
          <w:color w:val="auto"/>
          <w:lang w:val="zh-TW"/>
        </w:rPr>
        <w:t>元</w:t>
      </w:r>
    </w:p>
    <w:p w14:paraId="0637015E">
      <w:pPr>
        <w:spacing w:line="360" w:lineRule="auto"/>
        <w:ind w:left="192"/>
        <w:rPr>
          <w:rFonts w:hint="eastAsia" w:ascii="宋体" w:hAnsi="宋体" w:cs="宋体"/>
          <w:sz w:val="24"/>
        </w:rPr>
      </w:pPr>
      <w:r>
        <w:rPr>
          <w:rFonts w:hint="eastAsia" w:ascii="宋体" w:hAnsi="宋体" w:cs="宋体"/>
          <w:sz w:val="24"/>
        </w:rPr>
        <w:t>投标人名称（公章）：_________________________</w:t>
      </w:r>
    </w:p>
    <w:p w14:paraId="073C3444">
      <w:pPr>
        <w:spacing w:line="360" w:lineRule="auto"/>
        <w:ind w:left="192"/>
        <w:rPr>
          <w:rFonts w:hint="eastAsia" w:ascii="宋体" w:hAnsi="宋体" w:cs="宋体"/>
          <w:sz w:val="24"/>
        </w:rPr>
      </w:pPr>
      <w:r>
        <w:rPr>
          <w:rFonts w:hint="eastAsia" w:ascii="宋体" w:hAnsi="宋体" w:cs="宋体"/>
          <w:sz w:val="24"/>
        </w:rPr>
        <w:t>投标人代表签字：_______________</w:t>
      </w:r>
    </w:p>
    <w:p w14:paraId="2BADC243">
      <w:pPr>
        <w:pStyle w:val="76"/>
        <w:ind w:firstLine="240" w:firstLineChars="100"/>
        <w:rPr>
          <w:rFonts w:hint="eastAsia" w:ascii="宋体" w:hAnsi="宋体" w:eastAsia="宋体" w:cs="宋体"/>
          <w:color w:val="auto"/>
        </w:rPr>
      </w:pPr>
      <w:r>
        <w:rPr>
          <w:rFonts w:hint="eastAsia" w:ascii="宋体" w:hAnsi="宋体" w:eastAsia="宋体" w:cs="宋体"/>
          <w:color w:val="auto"/>
        </w:rPr>
        <w:t>职务：_________日期：__________</w:t>
      </w:r>
    </w:p>
    <w:p w14:paraId="44024899">
      <w:pPr>
        <w:spacing w:line="460" w:lineRule="exact"/>
        <w:rPr>
          <w:rFonts w:hint="eastAsia" w:ascii="宋体" w:hAnsi="宋体" w:cs="宋体"/>
          <w:b/>
          <w:sz w:val="24"/>
        </w:rPr>
      </w:pPr>
    </w:p>
    <w:p w14:paraId="26A801A1">
      <w:pPr>
        <w:spacing w:line="460" w:lineRule="exact"/>
        <w:rPr>
          <w:rFonts w:hint="eastAsia" w:ascii="宋体" w:hAnsi="宋体" w:cs="宋体"/>
          <w:b/>
          <w:sz w:val="24"/>
        </w:rPr>
      </w:pPr>
    </w:p>
    <w:p w14:paraId="1653547C">
      <w:pPr>
        <w:spacing w:line="460" w:lineRule="exact"/>
        <w:jc w:val="center"/>
        <w:rPr>
          <w:rFonts w:hint="eastAsia" w:ascii="宋体" w:hAnsi="宋体" w:cs="宋体"/>
          <w:b/>
          <w:sz w:val="24"/>
        </w:rPr>
      </w:pPr>
    </w:p>
    <w:p w14:paraId="15DCC81B">
      <w:pPr>
        <w:spacing w:line="460" w:lineRule="exact"/>
        <w:jc w:val="center"/>
        <w:rPr>
          <w:rFonts w:hint="eastAsia" w:ascii="宋体" w:hAnsi="宋体" w:cs="宋体"/>
          <w:b/>
          <w:sz w:val="24"/>
        </w:rPr>
      </w:pPr>
      <w:r>
        <w:rPr>
          <w:rFonts w:hint="eastAsia" w:ascii="宋体" w:hAnsi="宋体" w:cs="宋体"/>
          <w:b/>
          <w:sz w:val="24"/>
        </w:rPr>
        <w:t>3.其他需要提供的资料</w:t>
      </w:r>
    </w:p>
    <w:p w14:paraId="51F569FB">
      <w:pPr>
        <w:spacing w:line="460" w:lineRule="exact"/>
        <w:rPr>
          <w:rFonts w:hint="eastAsia" w:ascii="宋体" w:hAnsi="宋体" w:cs="宋体"/>
          <w:b/>
          <w:sz w:val="24"/>
        </w:rPr>
      </w:pPr>
    </w:p>
    <w:p w14:paraId="4EEFA889">
      <w:pPr>
        <w:pStyle w:val="15"/>
        <w:rPr>
          <w:rFonts w:hint="eastAsia" w:ascii="宋体" w:hAnsi="宋体" w:eastAsia="宋体" w:cs="宋体"/>
          <w:b/>
        </w:rPr>
      </w:pPr>
    </w:p>
    <w:p w14:paraId="5B216E41">
      <w:pPr>
        <w:rPr>
          <w:rFonts w:hint="eastAsia" w:ascii="宋体" w:hAnsi="宋体" w:cs="宋体"/>
          <w:b/>
          <w:sz w:val="24"/>
        </w:rPr>
      </w:pPr>
    </w:p>
    <w:p w14:paraId="2C8F8F54">
      <w:pPr>
        <w:pStyle w:val="15"/>
        <w:rPr>
          <w:rFonts w:hint="eastAsia" w:ascii="宋体" w:hAnsi="宋体" w:eastAsia="宋体" w:cs="宋体"/>
          <w:b/>
        </w:rPr>
      </w:pPr>
    </w:p>
    <w:p w14:paraId="1A7A4995">
      <w:pPr>
        <w:rPr>
          <w:rFonts w:hint="eastAsia" w:ascii="宋体" w:hAnsi="宋体" w:cs="宋体"/>
          <w:b/>
          <w:sz w:val="24"/>
        </w:rPr>
      </w:pPr>
    </w:p>
    <w:p w14:paraId="60659838">
      <w:pPr>
        <w:spacing w:line="460" w:lineRule="exact"/>
        <w:ind w:firstLine="2711" w:firstLineChars="900"/>
        <w:rPr>
          <w:rFonts w:hint="eastAsia" w:ascii="宋体" w:hAnsi="宋体" w:cs="宋体"/>
          <w:b/>
          <w:bCs/>
          <w:sz w:val="30"/>
          <w:szCs w:val="30"/>
        </w:rPr>
      </w:pPr>
      <w:r>
        <w:rPr>
          <w:rFonts w:hint="eastAsia" w:ascii="宋体" w:hAnsi="宋体" w:cs="宋体"/>
          <w:b/>
          <w:bCs/>
          <w:sz w:val="30"/>
          <w:szCs w:val="30"/>
        </w:rPr>
        <w:br w:type="page"/>
      </w:r>
      <w:r>
        <w:rPr>
          <w:rFonts w:hint="eastAsia" w:ascii="宋体" w:hAnsi="宋体" w:cs="宋体"/>
          <w:b/>
          <w:bCs/>
          <w:sz w:val="30"/>
          <w:szCs w:val="30"/>
        </w:rPr>
        <w:t>第二部分  资格文件</w:t>
      </w:r>
    </w:p>
    <w:p w14:paraId="348D73F0">
      <w:pPr>
        <w:pStyle w:val="75"/>
        <w:spacing w:line="360" w:lineRule="auto"/>
        <w:ind w:firstLine="480" w:firstLineChars="200"/>
        <w:rPr>
          <w:rFonts w:hint="eastAsia" w:ascii="宋体" w:hAnsi="宋体" w:cs="宋体"/>
          <w:color w:val="auto"/>
          <w:kern w:val="2"/>
        </w:rPr>
      </w:pPr>
    </w:p>
    <w:p w14:paraId="31A57EA1">
      <w:pPr>
        <w:rPr>
          <w:rFonts w:hint="eastAsia" w:ascii="宋体" w:hAnsi="宋体" w:cs="宋体"/>
        </w:rPr>
      </w:pPr>
    </w:p>
    <w:p w14:paraId="34F7A20F">
      <w:pPr>
        <w:spacing w:line="480" w:lineRule="auto"/>
        <w:jc w:val="center"/>
        <w:rPr>
          <w:rFonts w:hint="eastAsia" w:ascii="宋体" w:hAnsi="宋体" w:cs="宋体"/>
          <w:b/>
          <w:sz w:val="24"/>
        </w:rPr>
      </w:pPr>
      <w:r>
        <w:rPr>
          <w:rFonts w:hint="eastAsia" w:ascii="宋体" w:hAnsi="宋体" w:cs="宋体"/>
          <w:b/>
          <w:sz w:val="24"/>
        </w:rPr>
        <w:t>法定代表人资格证明书</w:t>
      </w:r>
    </w:p>
    <w:p w14:paraId="1B10DC70">
      <w:pPr>
        <w:spacing w:line="480" w:lineRule="exact"/>
        <w:rPr>
          <w:rFonts w:hint="eastAsia" w:ascii="宋体" w:hAnsi="宋体" w:cs="宋体"/>
          <w:b/>
          <w:sz w:val="44"/>
          <w:szCs w:val="44"/>
        </w:rPr>
      </w:pPr>
    </w:p>
    <w:p w14:paraId="70E576FF">
      <w:pPr>
        <w:spacing w:line="480" w:lineRule="exact"/>
        <w:ind w:firstLine="480" w:firstLineChars="200"/>
        <w:rPr>
          <w:rFonts w:hint="eastAsia" w:ascii="宋体" w:hAnsi="宋体" w:cs="宋体"/>
          <w:sz w:val="24"/>
          <w:u w:val="single"/>
        </w:rPr>
      </w:pPr>
      <w:r>
        <w:rPr>
          <w:rFonts w:hint="eastAsia" w:ascii="宋体" w:hAnsi="宋体" w:cs="宋体"/>
          <w:sz w:val="24"/>
        </w:rPr>
        <w:t>法人名称：</w:t>
      </w:r>
      <w:r>
        <w:rPr>
          <w:rFonts w:hint="eastAsia" w:ascii="宋体" w:hAnsi="宋体" w:cs="宋体"/>
          <w:sz w:val="24"/>
          <w:u w:val="single"/>
        </w:rPr>
        <w:t xml:space="preserve">                         </w:t>
      </w:r>
    </w:p>
    <w:p w14:paraId="2E130B53">
      <w:pPr>
        <w:spacing w:line="480" w:lineRule="exact"/>
        <w:ind w:firstLine="570"/>
        <w:rPr>
          <w:rFonts w:hint="eastAsia" w:ascii="宋体" w:hAnsi="宋体" w:cs="宋体"/>
          <w:sz w:val="24"/>
        </w:rPr>
      </w:pPr>
    </w:p>
    <w:p w14:paraId="2BA63E34">
      <w:pPr>
        <w:spacing w:line="480" w:lineRule="exact"/>
        <w:ind w:firstLine="480" w:firstLineChars="200"/>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w:t>
      </w:r>
    </w:p>
    <w:p w14:paraId="23AD1C92">
      <w:pPr>
        <w:spacing w:line="480" w:lineRule="exact"/>
        <w:ind w:firstLine="570"/>
        <w:rPr>
          <w:rFonts w:hint="eastAsia" w:ascii="宋体" w:hAnsi="宋体" w:cs="宋体"/>
          <w:b/>
          <w:sz w:val="24"/>
        </w:rPr>
      </w:pPr>
    </w:p>
    <w:p w14:paraId="432DD20C">
      <w:pPr>
        <w:spacing w:line="480" w:lineRule="exact"/>
        <w:ind w:firstLine="480" w:firstLineChars="200"/>
        <w:rPr>
          <w:rFonts w:hint="eastAsia" w:ascii="宋体" w:hAnsi="宋体" w:cs="宋体"/>
          <w:sz w:val="24"/>
        </w:rPr>
      </w:pPr>
      <w:r>
        <w:rPr>
          <w:rFonts w:hint="eastAsia" w:ascii="宋体" w:hAnsi="宋体" w:cs="宋体"/>
          <w:sz w:val="24"/>
        </w:rPr>
        <w:t>法定代表人姓名：</w:t>
      </w:r>
      <w:r>
        <w:rPr>
          <w:rFonts w:hint="eastAsia" w:ascii="宋体" w:hAnsi="宋体" w:cs="宋体"/>
          <w:sz w:val="24"/>
          <w:u w:val="single"/>
        </w:rPr>
        <w:t xml:space="preserve">     </w:t>
      </w:r>
      <w:r>
        <w:rPr>
          <w:rFonts w:hint="eastAsia" w:ascii="宋体" w:hAnsi="宋体" w:cs="宋体"/>
          <w:sz w:val="24"/>
        </w:rPr>
        <w:t>性别：</w:t>
      </w:r>
      <w:r>
        <w:rPr>
          <w:rFonts w:hint="eastAsia" w:ascii="宋体" w:hAnsi="宋体" w:cs="宋体"/>
          <w:sz w:val="24"/>
          <w:u w:val="single"/>
        </w:rPr>
        <w:t xml:space="preserve">     </w:t>
      </w:r>
      <w:r>
        <w:rPr>
          <w:rFonts w:hint="eastAsia" w:ascii="宋体" w:hAnsi="宋体" w:cs="宋体"/>
          <w:sz w:val="24"/>
        </w:rPr>
        <w:t>年龄：</w:t>
      </w:r>
      <w:r>
        <w:rPr>
          <w:rFonts w:hint="eastAsia" w:ascii="宋体" w:hAnsi="宋体" w:cs="宋体"/>
          <w:sz w:val="24"/>
          <w:u w:val="single"/>
        </w:rPr>
        <w:t xml:space="preserve">     </w:t>
      </w:r>
      <w:r>
        <w:rPr>
          <w:rFonts w:hint="eastAsia" w:ascii="宋体" w:hAnsi="宋体" w:cs="宋体"/>
          <w:sz w:val="24"/>
        </w:rPr>
        <w:t>职务：</w:t>
      </w:r>
      <w:r>
        <w:rPr>
          <w:rFonts w:hint="eastAsia" w:ascii="宋体" w:hAnsi="宋体" w:cs="宋体"/>
          <w:sz w:val="24"/>
          <w:u w:val="single"/>
        </w:rPr>
        <w:t xml:space="preserve">     </w:t>
      </w:r>
    </w:p>
    <w:p w14:paraId="4FDFFB5D">
      <w:pPr>
        <w:spacing w:line="480" w:lineRule="exact"/>
        <w:ind w:firstLine="570"/>
        <w:rPr>
          <w:rFonts w:hint="eastAsia" w:ascii="宋体" w:hAnsi="宋体" w:cs="宋体"/>
          <w:sz w:val="24"/>
        </w:rPr>
      </w:pPr>
    </w:p>
    <w:p w14:paraId="5EBAF2EE">
      <w:pPr>
        <w:spacing w:line="480" w:lineRule="exact"/>
        <w:ind w:firstLine="480" w:firstLineChars="200"/>
        <w:rPr>
          <w:rFonts w:hint="eastAsia" w:ascii="宋体" w:hAnsi="宋体" w:cs="宋体"/>
          <w:sz w:val="24"/>
        </w:rPr>
      </w:pPr>
      <w:r>
        <w:rPr>
          <w:rFonts w:hint="eastAsia" w:ascii="宋体" w:hAnsi="宋体" w:cs="宋体"/>
          <w:sz w:val="24"/>
        </w:rPr>
        <w:t>我系</w:t>
      </w:r>
      <w:r>
        <w:rPr>
          <w:rFonts w:hint="eastAsia" w:ascii="宋体" w:hAnsi="宋体" w:cs="宋体"/>
          <w:sz w:val="24"/>
          <w:u w:val="single"/>
        </w:rPr>
        <w:t xml:space="preserve">     </w:t>
      </w:r>
      <w:r>
        <w:rPr>
          <w:rFonts w:hint="eastAsia" w:ascii="宋体" w:hAnsi="宋体" w:cs="宋体"/>
          <w:sz w:val="24"/>
        </w:rPr>
        <w:t>的法定代表人。前往参加</w:t>
      </w:r>
      <w:r>
        <w:rPr>
          <w:rFonts w:hint="eastAsia" w:ascii="宋体" w:hAnsi="宋体" w:cs="宋体"/>
          <w:sz w:val="24"/>
          <w:u w:val="single"/>
        </w:rPr>
        <w:t xml:space="preserve">     </w:t>
      </w:r>
      <w:r>
        <w:rPr>
          <w:rFonts w:hint="eastAsia" w:ascii="宋体" w:hAnsi="宋体" w:cs="宋体"/>
          <w:sz w:val="24"/>
        </w:rPr>
        <w:t>项目的投标活动及签订合同。</w:t>
      </w:r>
    </w:p>
    <w:p w14:paraId="45066DA0">
      <w:pPr>
        <w:spacing w:line="480" w:lineRule="exact"/>
        <w:ind w:firstLine="480" w:firstLineChars="200"/>
        <w:rPr>
          <w:rFonts w:hint="eastAsia" w:ascii="宋体" w:hAnsi="宋体" w:cs="宋体"/>
          <w:sz w:val="24"/>
        </w:rPr>
      </w:pPr>
    </w:p>
    <w:p w14:paraId="22A872CF">
      <w:pPr>
        <w:spacing w:line="480" w:lineRule="exact"/>
        <w:ind w:firstLine="480" w:firstLineChars="200"/>
        <w:rPr>
          <w:rFonts w:hint="eastAsia" w:ascii="宋体" w:hAnsi="宋体" w:cs="宋体"/>
          <w:sz w:val="24"/>
        </w:rPr>
      </w:pPr>
      <w:r>
        <w:rPr>
          <w:rFonts w:hint="eastAsia" w:ascii="宋体" w:hAnsi="宋体" w:cs="宋体"/>
          <w:sz w:val="24"/>
        </w:rPr>
        <w:t>特此证明。</w:t>
      </w:r>
    </w:p>
    <w:p w14:paraId="33494751">
      <w:pPr>
        <w:spacing w:line="480" w:lineRule="exact"/>
        <w:rPr>
          <w:rFonts w:hint="eastAsia" w:ascii="宋体" w:hAnsi="宋体" w:cs="宋体"/>
          <w:b/>
          <w:sz w:val="24"/>
        </w:rPr>
      </w:pPr>
      <w:r>
        <w:rPr>
          <w:rFonts w:hint="eastAsia" w:ascii="宋体" w:hAnsi="宋体" w:cs="宋体"/>
          <w:sz w:val="24"/>
        </w:rPr>
        <w:t>注：后附法定代表人身份证复印件。</w:t>
      </w:r>
    </w:p>
    <w:p w14:paraId="1D41B948">
      <w:pPr>
        <w:spacing w:line="480" w:lineRule="exact"/>
        <w:rPr>
          <w:rFonts w:hint="eastAsia" w:ascii="宋体" w:hAnsi="宋体" w:cs="宋体"/>
          <w:b/>
          <w:sz w:val="24"/>
        </w:rPr>
      </w:pPr>
    </w:p>
    <w:p w14:paraId="7D6DC43D">
      <w:pPr>
        <w:spacing w:line="480" w:lineRule="exact"/>
        <w:jc w:val="right"/>
        <w:rPr>
          <w:rFonts w:hint="eastAsia" w:ascii="宋体" w:hAnsi="宋体" w:cs="宋体"/>
          <w:sz w:val="24"/>
        </w:rPr>
      </w:pPr>
      <w:r>
        <w:rPr>
          <w:rFonts w:hint="eastAsia" w:ascii="宋体" w:hAnsi="宋体" w:cs="宋体"/>
          <w:sz w:val="24"/>
        </w:rPr>
        <w:t>投标单位：（盖章）</w:t>
      </w:r>
    </w:p>
    <w:p w14:paraId="770E4421">
      <w:pPr>
        <w:spacing w:line="480" w:lineRule="exact"/>
        <w:jc w:val="right"/>
        <w:rPr>
          <w:rFonts w:hint="eastAsia" w:ascii="宋体" w:hAnsi="宋体" w:cs="宋体"/>
          <w:sz w:val="24"/>
        </w:rPr>
      </w:pPr>
      <w:r>
        <w:rPr>
          <w:rFonts w:hint="eastAsia" w:ascii="宋体" w:hAnsi="宋体" w:cs="宋体"/>
          <w:sz w:val="24"/>
        </w:rPr>
        <w:t xml:space="preserve"> 日期：  年  月  日 </w:t>
      </w:r>
    </w:p>
    <w:p w14:paraId="79589C72">
      <w:pPr>
        <w:rPr>
          <w:rFonts w:hint="eastAsia" w:ascii="宋体" w:hAnsi="宋体" w:cs="宋体"/>
          <w:b/>
          <w:sz w:val="24"/>
        </w:rPr>
      </w:pPr>
    </w:p>
    <w:p w14:paraId="5776C85C">
      <w:pPr>
        <w:spacing w:line="480" w:lineRule="auto"/>
        <w:rPr>
          <w:rFonts w:hint="eastAsia" w:ascii="宋体" w:hAnsi="宋体" w:cs="宋体"/>
          <w:b/>
          <w:sz w:val="24"/>
        </w:rPr>
      </w:pPr>
      <w:r>
        <w:rPr>
          <w:rFonts w:hint="eastAsia" w:ascii="宋体" w:hAnsi="宋体" w:cs="宋体"/>
          <w:b/>
          <w:sz w:val="24"/>
        </w:rPr>
        <w:t xml:space="preserve">                         </w:t>
      </w:r>
    </w:p>
    <w:p w14:paraId="02F15083">
      <w:pPr>
        <w:spacing w:line="480" w:lineRule="auto"/>
        <w:rPr>
          <w:rFonts w:hint="eastAsia" w:ascii="宋体" w:hAnsi="宋体" w:cs="宋体"/>
          <w:b/>
          <w:sz w:val="24"/>
        </w:rPr>
      </w:pPr>
      <w:r>
        <w:rPr>
          <w:rFonts w:hint="eastAsia" w:ascii="宋体" w:hAnsi="宋体" w:cs="宋体"/>
          <w:b/>
          <w:sz w:val="24"/>
        </w:rPr>
        <w:t xml:space="preserve"> </w:t>
      </w:r>
    </w:p>
    <w:p w14:paraId="7EAA51F5">
      <w:pPr>
        <w:spacing w:line="480" w:lineRule="auto"/>
        <w:jc w:val="center"/>
        <w:rPr>
          <w:rFonts w:hint="eastAsia" w:ascii="宋体" w:hAnsi="宋体" w:cs="宋体"/>
          <w:b/>
          <w:sz w:val="24"/>
        </w:rPr>
      </w:pPr>
      <w:r>
        <w:rPr>
          <w:rFonts w:hint="eastAsia" w:ascii="宋体" w:hAnsi="宋体" w:cs="宋体"/>
          <w:b/>
          <w:sz w:val="24"/>
        </w:rPr>
        <w:br w:type="page"/>
      </w:r>
      <w:r>
        <w:rPr>
          <w:rFonts w:hint="eastAsia" w:ascii="宋体" w:hAnsi="宋体" w:cs="宋体"/>
          <w:b/>
          <w:sz w:val="24"/>
        </w:rPr>
        <w:t>法人代表授权书</w:t>
      </w:r>
    </w:p>
    <w:p w14:paraId="67170FD3">
      <w:pPr>
        <w:spacing w:line="480" w:lineRule="auto"/>
        <w:rPr>
          <w:rFonts w:hint="eastAsia" w:ascii="宋体" w:hAnsi="宋体" w:cs="宋体"/>
          <w:sz w:val="24"/>
        </w:rPr>
      </w:pPr>
    </w:p>
    <w:p w14:paraId="7AC7111A">
      <w:pPr>
        <w:spacing w:line="480" w:lineRule="auto"/>
        <w:ind w:firstLine="465"/>
        <w:jc w:val="left"/>
        <w:rPr>
          <w:rFonts w:hint="eastAsia" w:ascii="宋体" w:hAnsi="宋体" w:cs="宋体"/>
          <w:sz w:val="24"/>
        </w:rPr>
      </w:pPr>
      <w:r>
        <w:rPr>
          <w:rFonts w:hint="eastAsia" w:ascii="宋体" w:hAnsi="宋体" w:cs="宋体"/>
          <w:sz w:val="24"/>
        </w:rPr>
        <w:t>兹授权我单位</w:t>
      </w:r>
      <w:r>
        <w:rPr>
          <w:rFonts w:hint="eastAsia" w:ascii="宋体" w:hAnsi="宋体" w:cs="宋体"/>
          <w:sz w:val="24"/>
          <w:u w:val="single"/>
        </w:rPr>
        <w:t xml:space="preserve">     </w:t>
      </w:r>
      <w:r>
        <w:rPr>
          <w:rFonts w:hint="eastAsia" w:ascii="宋体" w:hAnsi="宋体" w:cs="宋体"/>
          <w:sz w:val="24"/>
        </w:rPr>
        <w:t>，身份证号</w:t>
      </w:r>
      <w:r>
        <w:rPr>
          <w:rFonts w:hint="eastAsia" w:ascii="宋体" w:hAnsi="宋体" w:cs="宋体"/>
          <w:sz w:val="24"/>
          <w:u w:val="single"/>
        </w:rPr>
        <w:t xml:space="preserve">     </w:t>
      </w:r>
      <w:r>
        <w:rPr>
          <w:rFonts w:hint="eastAsia" w:ascii="宋体" w:hAnsi="宋体" w:cs="宋体"/>
          <w:sz w:val="24"/>
        </w:rPr>
        <w:t>：代表</w:t>
      </w:r>
      <w:r>
        <w:rPr>
          <w:rFonts w:hint="eastAsia" w:ascii="宋体" w:hAnsi="宋体" w:cs="宋体"/>
          <w:sz w:val="24"/>
          <w:u w:val="single"/>
        </w:rPr>
        <w:t xml:space="preserve">     （单位名称）</w:t>
      </w:r>
      <w:r>
        <w:rPr>
          <w:rFonts w:hint="eastAsia" w:ascii="宋体" w:hAnsi="宋体" w:cs="宋体"/>
          <w:sz w:val="24"/>
        </w:rPr>
        <w:t>进行</w:t>
      </w:r>
      <w:r>
        <w:rPr>
          <w:rFonts w:hint="eastAsia" w:ascii="宋体" w:hAnsi="宋体" w:cs="宋体"/>
          <w:sz w:val="24"/>
          <w:u w:val="single"/>
        </w:rPr>
        <w:t xml:space="preserve">     </w:t>
      </w:r>
      <w:r>
        <w:rPr>
          <w:rFonts w:hint="eastAsia" w:ascii="宋体" w:hAnsi="宋体" w:cs="宋体"/>
          <w:sz w:val="24"/>
        </w:rPr>
        <w:t>项目的投标，此授权至</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日有效，特此证明。</w:t>
      </w:r>
    </w:p>
    <w:p w14:paraId="41E81186">
      <w:pPr>
        <w:spacing w:line="480" w:lineRule="auto"/>
        <w:rPr>
          <w:rFonts w:hint="eastAsia" w:ascii="宋体" w:hAnsi="宋体" w:cs="宋体"/>
          <w:sz w:val="24"/>
        </w:rPr>
      </w:pPr>
    </w:p>
    <w:p w14:paraId="7EF51DEA">
      <w:pPr>
        <w:spacing w:line="480" w:lineRule="auto"/>
        <w:rPr>
          <w:rFonts w:hint="eastAsia" w:ascii="宋体" w:hAnsi="宋体" w:cs="宋体"/>
          <w:sz w:val="24"/>
        </w:rPr>
      </w:pPr>
    </w:p>
    <w:p w14:paraId="1C898ADA">
      <w:pPr>
        <w:pStyle w:val="15"/>
        <w:rPr>
          <w:rFonts w:hint="eastAsia" w:ascii="宋体" w:hAnsi="宋体" w:cs="宋体"/>
        </w:rPr>
      </w:pPr>
    </w:p>
    <w:p w14:paraId="63A095F3">
      <w:pPr>
        <w:rPr>
          <w:rFonts w:hint="eastAsia" w:ascii="宋体" w:hAnsi="宋体" w:cs="宋体"/>
          <w:sz w:val="24"/>
        </w:rPr>
      </w:pPr>
    </w:p>
    <w:p w14:paraId="22A5736E">
      <w:pPr>
        <w:pStyle w:val="15"/>
      </w:pPr>
    </w:p>
    <w:p w14:paraId="404A08DF">
      <w:pPr>
        <w:spacing w:line="480" w:lineRule="auto"/>
        <w:ind w:left="3998" w:leftChars="1904"/>
        <w:jc w:val="center"/>
        <w:rPr>
          <w:rFonts w:hint="eastAsia" w:ascii="宋体" w:hAnsi="宋体" w:cs="宋体"/>
          <w:sz w:val="24"/>
        </w:rPr>
      </w:pPr>
      <w:r>
        <w:rPr>
          <w:rFonts w:hint="eastAsia" w:ascii="宋体" w:hAnsi="宋体" w:cs="宋体"/>
          <w:sz w:val="24"/>
        </w:rPr>
        <w:t>单位公章：</w:t>
      </w:r>
    </w:p>
    <w:p w14:paraId="7343188B">
      <w:pPr>
        <w:spacing w:line="480" w:lineRule="auto"/>
        <w:ind w:left="5676" w:leftChars="2703"/>
        <w:rPr>
          <w:rFonts w:hint="eastAsia" w:ascii="宋体" w:hAnsi="宋体" w:cs="宋体"/>
          <w:sz w:val="24"/>
        </w:rPr>
      </w:pPr>
      <w:r>
        <w:rPr>
          <w:rFonts w:hint="eastAsia" w:ascii="宋体" w:hAnsi="宋体" w:cs="宋体"/>
          <w:sz w:val="24"/>
        </w:rPr>
        <w:t>法定代表人签字或盖章：</w:t>
      </w:r>
    </w:p>
    <w:p w14:paraId="70117BE9">
      <w:pPr>
        <w:spacing w:line="480" w:lineRule="auto"/>
        <w:rPr>
          <w:rFonts w:hint="eastAsia" w:ascii="宋体" w:hAnsi="宋体" w:cs="宋体"/>
          <w:sz w:val="24"/>
        </w:rPr>
      </w:pPr>
    </w:p>
    <w:p w14:paraId="69CB9DBE">
      <w:pPr>
        <w:spacing w:line="480" w:lineRule="auto"/>
        <w:ind w:left="5676" w:leftChars="2703"/>
        <w:rPr>
          <w:rFonts w:hint="eastAsia" w:ascii="宋体" w:hAnsi="宋体" w:cs="宋体"/>
          <w:sz w:val="24"/>
        </w:rPr>
      </w:pPr>
      <w:r>
        <w:rPr>
          <w:rFonts w:hint="eastAsia" w:ascii="宋体" w:hAnsi="宋体" w:cs="宋体"/>
          <w:sz w:val="24"/>
        </w:rPr>
        <w:t>年 月 日</w:t>
      </w:r>
    </w:p>
    <w:p w14:paraId="436F64DB">
      <w:pPr>
        <w:spacing w:line="360" w:lineRule="auto"/>
        <w:rPr>
          <w:rFonts w:hint="eastAsia" w:ascii="宋体" w:hAnsi="宋体" w:cs="宋体"/>
          <w:sz w:val="24"/>
        </w:rPr>
      </w:pPr>
      <w:r>
        <w:rPr>
          <w:rFonts w:hint="eastAsia" w:ascii="宋体" w:hAnsi="宋体" w:cs="宋体"/>
          <w:sz w:val="24"/>
        </w:rPr>
        <w:t>注：后附被授权人身份证复印件。</w:t>
      </w:r>
    </w:p>
    <w:p w14:paraId="237CEF71">
      <w:pPr>
        <w:spacing w:line="360" w:lineRule="auto"/>
        <w:jc w:val="center"/>
        <w:rPr>
          <w:rFonts w:hint="eastAsia" w:ascii="宋体" w:hAnsi="宋体" w:cs="宋体"/>
          <w:b/>
          <w:sz w:val="24"/>
        </w:rPr>
      </w:pPr>
    </w:p>
    <w:p w14:paraId="0AFA7947">
      <w:pPr>
        <w:spacing w:line="360" w:lineRule="auto"/>
        <w:jc w:val="center"/>
        <w:rPr>
          <w:rFonts w:hint="eastAsia" w:ascii="宋体" w:hAnsi="宋体" w:cs="宋体"/>
          <w:b/>
          <w:sz w:val="24"/>
        </w:rPr>
      </w:pPr>
    </w:p>
    <w:p w14:paraId="460B4740">
      <w:pPr>
        <w:spacing w:line="360" w:lineRule="auto"/>
        <w:jc w:val="center"/>
        <w:rPr>
          <w:rFonts w:hint="eastAsia" w:ascii="宋体" w:hAnsi="宋体" w:cs="宋体"/>
          <w:b/>
          <w:sz w:val="24"/>
        </w:rPr>
      </w:pPr>
    </w:p>
    <w:p w14:paraId="39B92D67">
      <w:pPr>
        <w:spacing w:line="360" w:lineRule="auto"/>
        <w:jc w:val="center"/>
        <w:rPr>
          <w:rFonts w:hint="eastAsia" w:ascii="宋体" w:hAnsi="宋体" w:cs="宋体"/>
          <w:b/>
          <w:sz w:val="24"/>
        </w:rPr>
      </w:pPr>
    </w:p>
    <w:p w14:paraId="100FA961">
      <w:pPr>
        <w:spacing w:line="360" w:lineRule="auto"/>
        <w:jc w:val="center"/>
        <w:rPr>
          <w:rFonts w:hint="eastAsia" w:ascii="宋体" w:hAnsi="宋体" w:cs="宋体"/>
          <w:b/>
          <w:sz w:val="24"/>
        </w:rPr>
      </w:pPr>
    </w:p>
    <w:p w14:paraId="43E1A35D">
      <w:pPr>
        <w:spacing w:line="360" w:lineRule="auto"/>
        <w:jc w:val="center"/>
        <w:rPr>
          <w:b/>
          <w:sz w:val="28"/>
          <w:szCs w:val="28"/>
        </w:rPr>
      </w:pPr>
    </w:p>
    <w:p w14:paraId="4244F84F">
      <w:pPr>
        <w:spacing w:line="360" w:lineRule="auto"/>
        <w:jc w:val="center"/>
        <w:rPr>
          <w:b/>
          <w:sz w:val="28"/>
          <w:szCs w:val="28"/>
        </w:rPr>
      </w:pPr>
    </w:p>
    <w:p w14:paraId="6AF6BA26">
      <w:pPr>
        <w:spacing w:line="360" w:lineRule="auto"/>
        <w:jc w:val="center"/>
        <w:rPr>
          <w:b/>
          <w:sz w:val="28"/>
          <w:szCs w:val="28"/>
        </w:rPr>
      </w:pPr>
    </w:p>
    <w:p w14:paraId="165040A3">
      <w:pPr>
        <w:spacing w:line="360" w:lineRule="auto"/>
        <w:jc w:val="center"/>
        <w:rPr>
          <w:b/>
          <w:sz w:val="28"/>
          <w:szCs w:val="28"/>
        </w:rPr>
      </w:pPr>
    </w:p>
    <w:p w14:paraId="1FCC785F">
      <w:pPr>
        <w:spacing w:line="360" w:lineRule="auto"/>
        <w:jc w:val="center"/>
        <w:rPr>
          <w:b/>
          <w:sz w:val="28"/>
          <w:szCs w:val="28"/>
        </w:rPr>
      </w:pPr>
    </w:p>
    <w:p w14:paraId="02328F1C">
      <w:pPr>
        <w:spacing w:line="360" w:lineRule="auto"/>
        <w:jc w:val="center"/>
        <w:rPr>
          <w:b/>
          <w:sz w:val="28"/>
          <w:szCs w:val="28"/>
        </w:rPr>
      </w:pPr>
    </w:p>
    <w:p w14:paraId="68A8DA4B">
      <w:pPr>
        <w:spacing w:line="360" w:lineRule="auto"/>
        <w:jc w:val="center"/>
        <w:rPr>
          <w:b/>
          <w:sz w:val="28"/>
          <w:szCs w:val="28"/>
        </w:rPr>
      </w:pPr>
      <w:r>
        <w:rPr>
          <w:rFonts w:hint="eastAsia"/>
          <w:b/>
          <w:sz w:val="28"/>
          <w:szCs w:val="28"/>
        </w:rPr>
        <w:t>无重大违法记录声明</w:t>
      </w:r>
    </w:p>
    <w:p w14:paraId="30CB6723">
      <w:pPr>
        <w:spacing w:line="278" w:lineRule="auto"/>
      </w:pPr>
    </w:p>
    <w:p w14:paraId="064065D0">
      <w:pPr>
        <w:spacing w:line="279" w:lineRule="auto"/>
      </w:pPr>
    </w:p>
    <w:p w14:paraId="6F8E8399">
      <w:pPr>
        <w:spacing w:before="74" w:line="375" w:lineRule="auto"/>
        <w:ind w:left="30" w:firstLine="427"/>
        <w:rPr>
          <w:rFonts w:hint="eastAsia" w:ascii="宋体" w:hAnsi="宋体" w:cs="宋体"/>
          <w:sz w:val="24"/>
        </w:rPr>
      </w:pPr>
      <w:r>
        <w:rPr>
          <w:rFonts w:ascii="宋体" w:hAnsi="宋体" w:cs="宋体"/>
          <w:spacing w:val="-2"/>
          <w:sz w:val="24"/>
        </w:rPr>
        <w:t>我单位现参与</w:t>
      </w:r>
      <w:r>
        <w:rPr>
          <w:rFonts w:ascii="宋体" w:hAnsi="宋体" w:cs="宋体"/>
          <w:spacing w:val="-2"/>
          <w:sz w:val="24"/>
          <w:u w:val="single"/>
        </w:rPr>
        <w:t xml:space="preserve">    </w:t>
      </w:r>
      <w:r>
        <w:rPr>
          <w:rFonts w:ascii="宋体" w:hAnsi="宋体" w:cs="宋体"/>
          <w:spacing w:val="-1"/>
          <w:sz w:val="24"/>
          <w:u w:val="single"/>
        </w:rPr>
        <w:t xml:space="preserve">                     </w:t>
      </w:r>
      <w:r>
        <w:rPr>
          <w:rFonts w:ascii="宋体" w:hAnsi="宋体" w:cs="宋体"/>
          <w:spacing w:val="-1"/>
          <w:sz w:val="24"/>
        </w:rPr>
        <w:t>项目</w:t>
      </w:r>
      <w:r>
        <w:rPr>
          <w:rFonts w:hint="eastAsia" w:ascii="宋体" w:hAnsi="宋体" w:cs="宋体"/>
          <w:spacing w:val="-1"/>
          <w:sz w:val="24"/>
        </w:rPr>
        <w:t>报价</w:t>
      </w:r>
      <w:r>
        <w:rPr>
          <w:rFonts w:ascii="宋体" w:hAnsi="宋体" w:cs="宋体"/>
          <w:spacing w:val="-1"/>
          <w:sz w:val="24"/>
        </w:rPr>
        <w:t>，并作</w:t>
      </w:r>
      <w:r>
        <w:rPr>
          <w:rFonts w:ascii="宋体" w:hAnsi="宋体" w:cs="宋体"/>
          <w:spacing w:val="5"/>
          <w:sz w:val="24"/>
        </w:rPr>
        <w:t>出</w:t>
      </w:r>
      <w:r>
        <w:rPr>
          <w:rFonts w:ascii="宋体" w:hAnsi="宋体" w:cs="宋体"/>
          <w:spacing w:val="3"/>
          <w:sz w:val="24"/>
        </w:rPr>
        <w:t>如下声明：</w:t>
      </w:r>
    </w:p>
    <w:p w14:paraId="495B76C6">
      <w:pPr>
        <w:spacing w:line="226" w:lineRule="auto"/>
        <w:ind w:left="457"/>
        <w:rPr>
          <w:rFonts w:hint="eastAsia" w:ascii="宋体" w:hAnsi="宋体" w:cs="宋体"/>
          <w:sz w:val="24"/>
        </w:rPr>
      </w:pPr>
      <w:r>
        <w:rPr>
          <w:rFonts w:ascii="宋体" w:hAnsi="宋体" w:cs="宋体"/>
          <w:spacing w:val="16"/>
          <w:sz w:val="24"/>
        </w:rPr>
        <w:t>我</w:t>
      </w:r>
      <w:r>
        <w:rPr>
          <w:rFonts w:ascii="宋体" w:hAnsi="宋体" w:cs="宋体"/>
          <w:spacing w:val="9"/>
          <w:sz w:val="24"/>
        </w:rPr>
        <w:t>单位在参加本次政府采购活动前3年内，在经营活动中没有重大违法记录。</w:t>
      </w:r>
    </w:p>
    <w:p w14:paraId="54E85CE0">
      <w:pPr>
        <w:spacing w:line="286" w:lineRule="auto"/>
        <w:rPr>
          <w:sz w:val="24"/>
        </w:rPr>
      </w:pPr>
    </w:p>
    <w:p w14:paraId="713FDA22">
      <w:pPr>
        <w:spacing w:line="287" w:lineRule="auto"/>
        <w:rPr>
          <w:sz w:val="24"/>
        </w:rPr>
      </w:pPr>
    </w:p>
    <w:p w14:paraId="39A0459C">
      <w:pPr>
        <w:spacing w:before="75" w:line="227" w:lineRule="auto"/>
        <w:ind w:left="455"/>
        <w:rPr>
          <w:rFonts w:hint="eastAsia" w:ascii="宋体" w:hAnsi="宋体" w:cs="宋体"/>
          <w:sz w:val="24"/>
        </w:rPr>
      </w:pPr>
      <w:r>
        <w:rPr>
          <w:rFonts w:ascii="宋体" w:hAnsi="宋体" w:cs="宋体"/>
          <w:spacing w:val="6"/>
          <w:sz w:val="24"/>
        </w:rPr>
        <w:t>特此声明。</w:t>
      </w:r>
    </w:p>
    <w:p w14:paraId="549B43DE">
      <w:pPr>
        <w:spacing w:line="286" w:lineRule="auto"/>
      </w:pPr>
    </w:p>
    <w:p w14:paraId="63877F73">
      <w:pPr>
        <w:pStyle w:val="15"/>
      </w:pPr>
    </w:p>
    <w:p w14:paraId="60315CE1">
      <w:pPr>
        <w:pStyle w:val="16"/>
      </w:pPr>
    </w:p>
    <w:p w14:paraId="60C5187A"/>
    <w:p w14:paraId="0448DA03">
      <w:pPr>
        <w:pStyle w:val="15"/>
      </w:pPr>
    </w:p>
    <w:p w14:paraId="79E068D2">
      <w:pPr>
        <w:pStyle w:val="16"/>
      </w:pPr>
    </w:p>
    <w:p w14:paraId="31224849">
      <w:pPr>
        <w:rPr>
          <w:sz w:val="24"/>
        </w:rPr>
      </w:pPr>
    </w:p>
    <w:p w14:paraId="0B3BE613">
      <w:pPr>
        <w:spacing w:line="286" w:lineRule="auto"/>
        <w:rPr>
          <w:sz w:val="24"/>
        </w:rPr>
      </w:pPr>
    </w:p>
    <w:p w14:paraId="13F61A4E">
      <w:pPr>
        <w:spacing w:before="75" w:line="382" w:lineRule="auto"/>
        <w:ind w:left="5476" w:hanging="41"/>
        <w:rPr>
          <w:rFonts w:hint="eastAsia" w:ascii="宋体" w:hAnsi="宋体" w:cs="宋体"/>
          <w:sz w:val="24"/>
        </w:rPr>
      </w:pPr>
      <w:r>
        <w:rPr>
          <w:rFonts w:hint="eastAsia" w:ascii="宋体" w:hAnsi="宋体" w:cs="宋体"/>
          <w:spacing w:val="-8"/>
          <w:sz w:val="24"/>
        </w:rPr>
        <w:t>报价人</w:t>
      </w:r>
      <w:r>
        <w:rPr>
          <w:rFonts w:ascii="宋体" w:hAnsi="宋体" w:cs="宋体"/>
          <w:spacing w:val="-4"/>
          <w:sz w:val="24"/>
        </w:rPr>
        <w:t>名称：</w:t>
      </w:r>
      <w:r>
        <w:rPr>
          <w:rFonts w:ascii="宋体" w:hAnsi="宋体" w:cs="宋体"/>
          <w:spacing w:val="-4"/>
          <w:sz w:val="24"/>
          <w:u w:val="single"/>
        </w:rPr>
        <w:t xml:space="preserve">            </w:t>
      </w:r>
      <w:r>
        <w:rPr>
          <w:rFonts w:ascii="宋体" w:hAnsi="宋体" w:cs="宋体"/>
          <w:spacing w:val="-4"/>
          <w:sz w:val="24"/>
        </w:rPr>
        <w:t>(公章)</w:t>
      </w:r>
      <w:r>
        <w:rPr>
          <w:rFonts w:ascii="宋体" w:hAnsi="宋体" w:cs="宋体"/>
          <w:sz w:val="24"/>
        </w:rPr>
        <w:t xml:space="preserve"> </w:t>
      </w:r>
      <w:r>
        <w:rPr>
          <w:rFonts w:ascii="宋体" w:hAnsi="宋体" w:cs="宋体"/>
          <w:spacing w:val="-2"/>
          <w:sz w:val="24"/>
        </w:rPr>
        <w:t>日期：</w:t>
      </w:r>
      <w:r>
        <w:rPr>
          <w:rFonts w:ascii="宋体" w:hAnsi="宋体" w:cs="宋体"/>
          <w:spacing w:val="-1"/>
          <w:sz w:val="24"/>
          <w:u w:val="single"/>
        </w:rPr>
        <w:t xml:space="preserve">       </w:t>
      </w:r>
      <w:r>
        <w:rPr>
          <w:rFonts w:ascii="宋体" w:hAnsi="宋体" w:cs="宋体"/>
          <w:spacing w:val="-1"/>
          <w:sz w:val="24"/>
        </w:rPr>
        <w:t>年</w:t>
      </w:r>
      <w:r>
        <w:rPr>
          <w:rFonts w:ascii="宋体" w:hAnsi="宋体" w:cs="宋体"/>
          <w:spacing w:val="-1"/>
          <w:sz w:val="24"/>
          <w:u w:val="single"/>
        </w:rPr>
        <w:t xml:space="preserve">     </w:t>
      </w:r>
      <w:r>
        <w:rPr>
          <w:rFonts w:ascii="宋体" w:hAnsi="宋体" w:cs="宋体"/>
          <w:spacing w:val="-1"/>
          <w:sz w:val="24"/>
        </w:rPr>
        <w:t>月</w:t>
      </w:r>
      <w:r>
        <w:rPr>
          <w:rFonts w:ascii="宋体" w:hAnsi="宋体" w:cs="宋体"/>
          <w:spacing w:val="-1"/>
          <w:sz w:val="24"/>
          <w:u w:val="single"/>
        </w:rPr>
        <w:t xml:space="preserve">     </w:t>
      </w:r>
      <w:r>
        <w:rPr>
          <w:rFonts w:ascii="宋体" w:hAnsi="宋体" w:cs="宋体"/>
          <w:spacing w:val="-1"/>
          <w:sz w:val="24"/>
        </w:rPr>
        <w:t>日</w:t>
      </w:r>
    </w:p>
    <w:p w14:paraId="635BED0A">
      <w:pPr>
        <w:spacing w:line="369" w:lineRule="auto"/>
        <w:rPr>
          <w:sz w:val="24"/>
        </w:rPr>
      </w:pPr>
    </w:p>
    <w:p w14:paraId="58A17624">
      <w:pPr>
        <w:spacing w:before="75" w:line="376" w:lineRule="auto"/>
        <w:ind w:left="10" w:firstLine="445"/>
        <w:rPr>
          <w:rFonts w:hint="eastAsia" w:ascii="宋体" w:hAnsi="宋体" w:cs="宋体"/>
          <w:spacing w:val="14"/>
          <w:sz w:val="23"/>
          <w:szCs w:val="23"/>
        </w:rPr>
      </w:pPr>
      <w:r>
        <w:rPr>
          <w:rFonts w:ascii="宋体" w:hAnsi="宋体" w:cs="宋体"/>
          <w:spacing w:val="14"/>
          <w:sz w:val="23"/>
          <w:szCs w:val="23"/>
        </w:rPr>
        <w:t>注：</w:t>
      </w:r>
    </w:p>
    <w:p w14:paraId="453E374B">
      <w:pPr>
        <w:spacing w:before="75" w:line="376" w:lineRule="auto"/>
        <w:ind w:left="10" w:firstLine="445"/>
        <w:rPr>
          <w:rFonts w:hint="eastAsia" w:ascii="宋体" w:hAnsi="宋体" w:cs="宋体"/>
          <w:sz w:val="23"/>
          <w:szCs w:val="23"/>
        </w:rPr>
      </w:pPr>
      <w:r>
        <w:rPr>
          <w:rFonts w:ascii="宋体" w:hAnsi="宋体" w:cs="宋体"/>
          <w:spacing w:val="14"/>
          <w:sz w:val="23"/>
          <w:szCs w:val="23"/>
        </w:rPr>
        <w:t>1</w:t>
      </w:r>
      <w:r>
        <w:rPr>
          <w:rFonts w:hint="eastAsia" w:ascii="宋体" w:hAnsi="宋体" w:cs="宋体"/>
          <w:spacing w:val="14"/>
          <w:sz w:val="23"/>
          <w:szCs w:val="23"/>
        </w:rPr>
        <w:t>、</w:t>
      </w:r>
      <w:r>
        <w:rPr>
          <w:rFonts w:ascii="宋体" w:hAnsi="宋体" w:cs="宋体"/>
          <w:spacing w:val="7"/>
          <w:sz w:val="23"/>
          <w:szCs w:val="23"/>
        </w:rPr>
        <w:t>重大违法记录是指</w:t>
      </w:r>
      <w:r>
        <w:rPr>
          <w:rFonts w:hint="eastAsia" w:ascii="宋体" w:hAnsi="宋体" w:cs="宋体"/>
          <w:spacing w:val="7"/>
          <w:sz w:val="23"/>
          <w:szCs w:val="23"/>
        </w:rPr>
        <w:t>报价人</w:t>
      </w:r>
      <w:r>
        <w:rPr>
          <w:rFonts w:ascii="宋体" w:hAnsi="宋体" w:cs="宋体"/>
          <w:spacing w:val="7"/>
          <w:sz w:val="23"/>
          <w:szCs w:val="23"/>
        </w:rPr>
        <w:t>因违法经营受到刑事处罚或者责令停产停业、吊</w:t>
      </w:r>
      <w:r>
        <w:rPr>
          <w:rFonts w:ascii="宋体" w:hAnsi="宋体" w:cs="宋体"/>
          <w:spacing w:val="9"/>
          <w:sz w:val="23"/>
          <w:szCs w:val="23"/>
        </w:rPr>
        <w:t>销许可证或者执照、较大数额罚款等行政处罚。</w:t>
      </w:r>
    </w:p>
    <w:p w14:paraId="7EDC0784">
      <w:pPr>
        <w:spacing w:line="380" w:lineRule="auto"/>
        <w:ind w:left="10" w:right="26" w:firstLine="481"/>
        <w:rPr>
          <w:rFonts w:hint="eastAsia" w:ascii="宋体" w:hAnsi="宋体" w:cs="宋体"/>
          <w:sz w:val="23"/>
          <w:szCs w:val="23"/>
        </w:rPr>
      </w:pPr>
      <w:r>
        <w:rPr>
          <w:rFonts w:ascii="宋体" w:hAnsi="宋体" w:cs="宋体"/>
          <w:spacing w:val="17"/>
          <w:sz w:val="23"/>
          <w:szCs w:val="23"/>
        </w:rPr>
        <w:t>2</w:t>
      </w:r>
      <w:r>
        <w:rPr>
          <w:rFonts w:hint="eastAsia" w:ascii="宋体" w:hAnsi="宋体" w:cs="宋体"/>
          <w:spacing w:val="9"/>
          <w:sz w:val="23"/>
          <w:szCs w:val="23"/>
        </w:rPr>
        <w:t>、</w:t>
      </w:r>
      <w:r>
        <w:rPr>
          <w:rFonts w:ascii="宋体" w:hAnsi="宋体" w:cs="宋体"/>
          <w:spacing w:val="9"/>
          <w:sz w:val="23"/>
          <w:szCs w:val="23"/>
        </w:rPr>
        <w:t>提交投标文件截止日前3年在经营活动中没有重大违法记录的书面声明函，如</w:t>
      </w:r>
      <w:r>
        <w:rPr>
          <w:rFonts w:ascii="宋体" w:hAnsi="宋体" w:cs="宋体"/>
          <w:spacing w:val="18"/>
          <w:sz w:val="23"/>
          <w:szCs w:val="23"/>
        </w:rPr>
        <w:t>果截</w:t>
      </w:r>
      <w:r>
        <w:rPr>
          <w:rFonts w:ascii="宋体" w:hAnsi="宋体" w:cs="宋体"/>
          <w:spacing w:val="12"/>
          <w:sz w:val="23"/>
          <w:szCs w:val="23"/>
        </w:rPr>
        <w:t>至</w:t>
      </w:r>
      <w:r>
        <w:rPr>
          <w:rFonts w:ascii="宋体" w:hAnsi="宋体" w:cs="宋体"/>
          <w:spacing w:val="9"/>
          <w:sz w:val="23"/>
          <w:szCs w:val="23"/>
        </w:rPr>
        <w:t>提交投标文件截止日成立不足3年的</w:t>
      </w:r>
      <w:r>
        <w:rPr>
          <w:rFonts w:hint="eastAsia" w:ascii="宋体" w:hAnsi="宋体" w:cs="宋体"/>
          <w:spacing w:val="9"/>
          <w:sz w:val="23"/>
          <w:szCs w:val="23"/>
        </w:rPr>
        <w:t>报价人</w:t>
      </w:r>
      <w:r>
        <w:rPr>
          <w:rFonts w:ascii="宋体" w:hAnsi="宋体" w:cs="宋体"/>
          <w:spacing w:val="9"/>
          <w:sz w:val="23"/>
          <w:szCs w:val="23"/>
        </w:rPr>
        <w:t>，可提供自成立以来无重大违法记</w:t>
      </w:r>
      <w:r>
        <w:rPr>
          <w:rFonts w:ascii="宋体" w:hAnsi="宋体" w:cs="宋体"/>
          <w:spacing w:val="10"/>
          <w:sz w:val="23"/>
          <w:szCs w:val="23"/>
        </w:rPr>
        <w:t>录</w:t>
      </w:r>
      <w:r>
        <w:rPr>
          <w:rFonts w:ascii="宋体" w:hAnsi="宋体" w:cs="宋体"/>
          <w:spacing w:val="7"/>
          <w:sz w:val="23"/>
          <w:szCs w:val="23"/>
        </w:rPr>
        <w:t>的书面声明函。</w:t>
      </w:r>
    </w:p>
    <w:p w14:paraId="5FDF2107">
      <w:pPr>
        <w:spacing w:line="360" w:lineRule="auto"/>
        <w:rPr>
          <w:rFonts w:hint="eastAsia" w:ascii="宋体" w:hAnsi="宋体" w:cs="宋体"/>
          <w:b/>
          <w:sz w:val="24"/>
        </w:rPr>
        <w:sectPr>
          <w:headerReference r:id="rId14" w:type="default"/>
          <w:footerReference r:id="rId15" w:type="default"/>
          <w:pgSz w:w="11906" w:h="16838"/>
          <w:pgMar w:top="1440" w:right="1797" w:bottom="1440" w:left="1558" w:header="850" w:footer="992" w:gutter="0"/>
          <w:cols w:space="720" w:num="1"/>
          <w:docGrid w:type="lines" w:linePitch="312" w:charSpace="0"/>
        </w:sectPr>
      </w:pPr>
    </w:p>
    <w:p w14:paraId="199AABA4">
      <w:pPr>
        <w:numPr>
          <w:ilvl w:val="0"/>
          <w:numId w:val="9"/>
        </w:numPr>
        <w:spacing w:line="460" w:lineRule="exact"/>
        <w:ind w:firstLine="2711" w:firstLineChars="900"/>
        <w:rPr>
          <w:rFonts w:hint="eastAsia" w:ascii="宋体" w:hAnsi="宋体" w:cs="宋体"/>
          <w:b/>
          <w:bCs/>
          <w:sz w:val="30"/>
          <w:szCs w:val="30"/>
        </w:rPr>
      </w:pPr>
      <w:r>
        <w:rPr>
          <w:rFonts w:hint="eastAsia" w:ascii="宋体" w:hAnsi="宋体" w:cs="宋体"/>
          <w:b/>
          <w:bCs/>
          <w:sz w:val="30"/>
          <w:szCs w:val="30"/>
        </w:rPr>
        <w:t xml:space="preserve"> 资信文件 </w:t>
      </w:r>
    </w:p>
    <w:p w14:paraId="5DB7794F">
      <w:pPr>
        <w:spacing w:line="460" w:lineRule="exact"/>
        <w:rPr>
          <w:rFonts w:hint="eastAsia" w:ascii="宋体" w:hAnsi="宋体" w:cs="宋体"/>
          <w:b/>
          <w:bCs/>
          <w:sz w:val="30"/>
          <w:szCs w:val="30"/>
        </w:rPr>
      </w:pPr>
    </w:p>
    <w:p w14:paraId="62B5B785">
      <w:pPr>
        <w:spacing w:line="360" w:lineRule="auto"/>
        <w:ind w:firstLine="482" w:firstLineChars="200"/>
        <w:jc w:val="left"/>
        <w:rPr>
          <w:rFonts w:hint="eastAsia" w:ascii="宋体" w:hAnsi="宋体" w:cs="宋体"/>
          <w:b/>
          <w:sz w:val="24"/>
        </w:rPr>
      </w:pPr>
      <w:r>
        <w:rPr>
          <w:rFonts w:hint="eastAsia" w:ascii="宋体" w:hAnsi="宋体" w:cs="宋体"/>
          <w:b/>
          <w:sz w:val="24"/>
        </w:rPr>
        <w:t xml:space="preserve">                   1.主要相关项目业绩一览表</w:t>
      </w:r>
    </w:p>
    <w:p w14:paraId="704E51C4">
      <w:pPr>
        <w:spacing w:line="460" w:lineRule="exact"/>
        <w:rPr>
          <w:rFonts w:hint="eastAsia" w:ascii="宋体" w:hAnsi="宋体" w:cs="宋体"/>
          <w:b/>
          <w:sz w:val="24"/>
        </w:rPr>
      </w:pPr>
      <w:r>
        <w:rPr>
          <w:rFonts w:hint="eastAsia" w:ascii="宋体" w:hAnsi="宋体" w:cs="宋体"/>
          <w:sz w:val="24"/>
        </w:rPr>
        <w:t>项目名称：_______________</w:t>
      </w:r>
    </w:p>
    <w:p w14:paraId="07A3ADFD">
      <w:pPr>
        <w:spacing w:line="560" w:lineRule="exact"/>
        <w:jc w:val="center"/>
        <w:rPr>
          <w:rFonts w:hint="eastAsia" w:ascii="宋体" w:hAnsi="宋体" w:cs="宋体"/>
          <w:b/>
          <w:sz w:val="24"/>
        </w:rPr>
      </w:pPr>
    </w:p>
    <w:tbl>
      <w:tblPr>
        <w:tblStyle w:val="40"/>
        <w:tblW w:w="9868" w:type="dxa"/>
        <w:tblInd w:w="-827" w:type="dxa"/>
        <w:tblLayout w:type="fixed"/>
        <w:tblCellMar>
          <w:top w:w="0" w:type="dxa"/>
          <w:left w:w="108" w:type="dxa"/>
          <w:bottom w:w="0" w:type="dxa"/>
          <w:right w:w="108" w:type="dxa"/>
        </w:tblCellMar>
      </w:tblPr>
      <w:tblGrid>
        <w:gridCol w:w="876"/>
        <w:gridCol w:w="1679"/>
        <w:gridCol w:w="1356"/>
        <w:gridCol w:w="1083"/>
        <w:gridCol w:w="1691"/>
        <w:gridCol w:w="1813"/>
        <w:gridCol w:w="1370"/>
      </w:tblGrid>
      <w:tr w14:paraId="287E961C">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2D567809">
            <w:pPr>
              <w:spacing w:line="500" w:lineRule="exact"/>
              <w:jc w:val="center"/>
              <w:rPr>
                <w:rFonts w:hint="eastAsia" w:ascii="宋体" w:hAnsi="宋体" w:cs="宋体"/>
                <w:sz w:val="24"/>
              </w:rPr>
            </w:pPr>
            <w:r>
              <w:rPr>
                <w:rFonts w:hint="eastAsia" w:ascii="宋体" w:hAnsi="宋体" w:cs="宋体"/>
                <w:sz w:val="24"/>
              </w:rPr>
              <w:t>序号</w:t>
            </w:r>
          </w:p>
        </w:tc>
        <w:tc>
          <w:tcPr>
            <w:tcW w:w="1679" w:type="dxa"/>
            <w:tcBorders>
              <w:top w:val="single" w:color="auto" w:sz="4" w:space="0"/>
              <w:left w:val="nil"/>
              <w:bottom w:val="single" w:color="auto" w:sz="4" w:space="0"/>
              <w:right w:val="single" w:color="auto" w:sz="4" w:space="0"/>
            </w:tcBorders>
            <w:vAlign w:val="center"/>
          </w:tcPr>
          <w:p w14:paraId="6947C2CA">
            <w:pPr>
              <w:spacing w:line="500" w:lineRule="exact"/>
              <w:jc w:val="center"/>
              <w:rPr>
                <w:rFonts w:hint="eastAsia" w:ascii="宋体" w:hAnsi="宋体" w:cs="宋体"/>
                <w:sz w:val="24"/>
              </w:rPr>
            </w:pPr>
            <w:r>
              <w:rPr>
                <w:rFonts w:hint="eastAsia" w:ascii="宋体" w:hAnsi="宋体" w:cs="宋体"/>
                <w:sz w:val="24"/>
              </w:rPr>
              <w:t>用户单位名称</w:t>
            </w:r>
          </w:p>
        </w:tc>
        <w:tc>
          <w:tcPr>
            <w:tcW w:w="1356" w:type="dxa"/>
            <w:tcBorders>
              <w:top w:val="single" w:color="auto" w:sz="4" w:space="0"/>
              <w:left w:val="nil"/>
              <w:bottom w:val="single" w:color="auto" w:sz="4" w:space="0"/>
              <w:right w:val="single" w:color="auto" w:sz="4" w:space="0"/>
            </w:tcBorders>
            <w:vAlign w:val="center"/>
          </w:tcPr>
          <w:p w14:paraId="0108B134">
            <w:pPr>
              <w:spacing w:line="500" w:lineRule="exact"/>
              <w:jc w:val="center"/>
              <w:rPr>
                <w:rFonts w:hint="eastAsia" w:ascii="宋体" w:hAnsi="宋体" w:cs="宋体"/>
                <w:sz w:val="24"/>
              </w:rPr>
            </w:pPr>
            <w:r>
              <w:rPr>
                <w:rFonts w:hint="eastAsia" w:ascii="宋体" w:hAnsi="宋体" w:cs="宋体"/>
                <w:sz w:val="24"/>
              </w:rPr>
              <w:t>项目内容</w:t>
            </w:r>
          </w:p>
        </w:tc>
        <w:tc>
          <w:tcPr>
            <w:tcW w:w="1083" w:type="dxa"/>
            <w:tcBorders>
              <w:top w:val="single" w:color="auto" w:sz="4" w:space="0"/>
              <w:left w:val="nil"/>
              <w:bottom w:val="single" w:color="auto" w:sz="4" w:space="0"/>
              <w:right w:val="single" w:color="auto" w:sz="4" w:space="0"/>
            </w:tcBorders>
            <w:vAlign w:val="center"/>
          </w:tcPr>
          <w:p w14:paraId="4582C7FF">
            <w:pPr>
              <w:spacing w:line="500" w:lineRule="exact"/>
              <w:jc w:val="center"/>
              <w:rPr>
                <w:rFonts w:hint="eastAsia" w:ascii="宋体" w:hAnsi="宋体" w:cs="宋体"/>
                <w:sz w:val="24"/>
              </w:rPr>
            </w:pPr>
            <w:r>
              <w:rPr>
                <w:rFonts w:hint="eastAsia" w:ascii="宋体" w:hAnsi="宋体" w:cs="宋体"/>
                <w:sz w:val="24"/>
              </w:rPr>
              <w:t>项目实施地点</w:t>
            </w:r>
          </w:p>
        </w:tc>
        <w:tc>
          <w:tcPr>
            <w:tcW w:w="1691" w:type="dxa"/>
            <w:tcBorders>
              <w:top w:val="single" w:color="auto" w:sz="4" w:space="0"/>
              <w:left w:val="nil"/>
              <w:bottom w:val="single" w:color="auto" w:sz="4" w:space="0"/>
              <w:right w:val="single" w:color="auto" w:sz="4" w:space="0"/>
            </w:tcBorders>
            <w:vAlign w:val="center"/>
          </w:tcPr>
          <w:p w14:paraId="453F4CA4">
            <w:pPr>
              <w:spacing w:line="500" w:lineRule="exact"/>
              <w:jc w:val="center"/>
              <w:rPr>
                <w:rFonts w:hint="eastAsia" w:ascii="宋体" w:hAnsi="宋体" w:cs="宋体"/>
                <w:sz w:val="24"/>
              </w:rPr>
            </w:pPr>
            <w:r>
              <w:rPr>
                <w:rFonts w:hint="eastAsia" w:ascii="宋体" w:hAnsi="宋体" w:cs="宋体"/>
                <w:sz w:val="24"/>
              </w:rPr>
              <w:t>合同签订日期</w:t>
            </w:r>
          </w:p>
        </w:tc>
        <w:tc>
          <w:tcPr>
            <w:tcW w:w="1813" w:type="dxa"/>
            <w:tcBorders>
              <w:top w:val="single" w:color="auto" w:sz="4" w:space="0"/>
              <w:left w:val="nil"/>
              <w:bottom w:val="single" w:color="auto" w:sz="4" w:space="0"/>
              <w:right w:val="single" w:color="auto" w:sz="4" w:space="0"/>
            </w:tcBorders>
            <w:vAlign w:val="center"/>
          </w:tcPr>
          <w:p w14:paraId="286C0E11">
            <w:pPr>
              <w:spacing w:line="500" w:lineRule="exact"/>
              <w:jc w:val="center"/>
              <w:rPr>
                <w:rFonts w:hint="eastAsia" w:ascii="宋体" w:hAnsi="宋体" w:cs="宋体"/>
                <w:sz w:val="24"/>
              </w:rPr>
            </w:pPr>
            <w:r>
              <w:rPr>
                <w:rFonts w:hint="eastAsia" w:ascii="宋体" w:hAnsi="宋体" w:cs="宋体"/>
                <w:sz w:val="24"/>
              </w:rPr>
              <w:t>项目起止时间</w:t>
            </w:r>
          </w:p>
        </w:tc>
        <w:tc>
          <w:tcPr>
            <w:tcW w:w="1370" w:type="dxa"/>
            <w:tcBorders>
              <w:top w:val="single" w:color="auto" w:sz="4" w:space="0"/>
              <w:left w:val="nil"/>
              <w:bottom w:val="single" w:color="auto" w:sz="4" w:space="0"/>
              <w:right w:val="single" w:color="auto" w:sz="4" w:space="0"/>
            </w:tcBorders>
            <w:vAlign w:val="center"/>
          </w:tcPr>
          <w:p w14:paraId="54645786">
            <w:pPr>
              <w:spacing w:line="500" w:lineRule="exact"/>
              <w:jc w:val="center"/>
              <w:rPr>
                <w:rFonts w:hint="eastAsia" w:ascii="宋体" w:hAnsi="宋体" w:cs="宋体"/>
                <w:sz w:val="24"/>
              </w:rPr>
            </w:pPr>
            <w:r>
              <w:rPr>
                <w:rFonts w:hint="eastAsia" w:ascii="宋体" w:hAnsi="宋体" w:cs="宋体"/>
                <w:sz w:val="24"/>
              </w:rPr>
              <w:t>合同金额</w:t>
            </w:r>
          </w:p>
        </w:tc>
      </w:tr>
      <w:tr w14:paraId="10DB471B">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1B516F44">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1E2634EF">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3AC97543">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5DA46D45">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0800D96B">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23A1A02F">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0A8AFB67">
            <w:pPr>
              <w:spacing w:line="560" w:lineRule="exact"/>
              <w:jc w:val="center"/>
              <w:rPr>
                <w:rFonts w:hint="eastAsia" w:ascii="宋体" w:hAnsi="宋体" w:cs="宋体"/>
                <w:b/>
                <w:sz w:val="24"/>
              </w:rPr>
            </w:pPr>
          </w:p>
        </w:tc>
      </w:tr>
      <w:tr w14:paraId="146E3A8F">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4743A27C">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08BD5A6C">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63429FDF">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0DFC2886">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1DAB4F7C">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5015015E">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50E24B43">
            <w:pPr>
              <w:spacing w:line="560" w:lineRule="exact"/>
              <w:jc w:val="center"/>
              <w:rPr>
                <w:rFonts w:hint="eastAsia" w:ascii="宋体" w:hAnsi="宋体" w:cs="宋体"/>
                <w:b/>
                <w:sz w:val="24"/>
              </w:rPr>
            </w:pPr>
          </w:p>
        </w:tc>
      </w:tr>
      <w:tr w14:paraId="24C95F3E">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63C94508">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3B6A2FE1">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73BB9AC2">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7F2D0460">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7D0DD979">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175CE7E0">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62384C06">
            <w:pPr>
              <w:spacing w:line="560" w:lineRule="exact"/>
              <w:jc w:val="center"/>
              <w:rPr>
                <w:rFonts w:hint="eastAsia" w:ascii="宋体" w:hAnsi="宋体" w:cs="宋体"/>
                <w:b/>
                <w:sz w:val="24"/>
              </w:rPr>
            </w:pPr>
          </w:p>
        </w:tc>
      </w:tr>
      <w:tr w14:paraId="2D421548">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5C5797ED">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276C471A">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7FF0686A">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44E29EA6">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44ED0EC3">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555C1B1E">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4989244A">
            <w:pPr>
              <w:spacing w:line="560" w:lineRule="exact"/>
              <w:jc w:val="center"/>
              <w:rPr>
                <w:rFonts w:hint="eastAsia" w:ascii="宋体" w:hAnsi="宋体" w:cs="宋体"/>
                <w:b/>
                <w:sz w:val="24"/>
              </w:rPr>
            </w:pPr>
          </w:p>
        </w:tc>
      </w:tr>
      <w:tr w14:paraId="32B2ED55">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5B37424C">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71F740F6">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35841807">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279A855C">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6DFAD277">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4A691A56">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3D243FDE">
            <w:pPr>
              <w:spacing w:line="560" w:lineRule="exact"/>
              <w:jc w:val="center"/>
              <w:rPr>
                <w:rFonts w:hint="eastAsia" w:ascii="宋体" w:hAnsi="宋体" w:cs="宋体"/>
                <w:b/>
                <w:sz w:val="24"/>
              </w:rPr>
            </w:pPr>
          </w:p>
        </w:tc>
      </w:tr>
      <w:tr w14:paraId="6E5B6BA9">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1547ACE0">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79BFBC6D">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4BACA47F">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392F8290">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6EB0B3C3">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0BED3DCC">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27687BA0">
            <w:pPr>
              <w:spacing w:line="560" w:lineRule="exact"/>
              <w:jc w:val="center"/>
              <w:rPr>
                <w:rFonts w:hint="eastAsia" w:ascii="宋体" w:hAnsi="宋体" w:cs="宋体"/>
                <w:b/>
                <w:sz w:val="24"/>
              </w:rPr>
            </w:pPr>
          </w:p>
        </w:tc>
      </w:tr>
      <w:tr w14:paraId="140089CE">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443E179F">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1D1D17E3">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002A333D">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6DFC617B">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06349FFA">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2BE9F816">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49DF3BA8">
            <w:pPr>
              <w:spacing w:line="560" w:lineRule="exact"/>
              <w:jc w:val="center"/>
              <w:rPr>
                <w:rFonts w:hint="eastAsia" w:ascii="宋体" w:hAnsi="宋体" w:cs="宋体"/>
                <w:b/>
                <w:sz w:val="24"/>
              </w:rPr>
            </w:pPr>
          </w:p>
        </w:tc>
      </w:tr>
      <w:tr w14:paraId="7A3D16CC">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73B35B48">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42C1C2E1">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1E5E16F8">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1AA3EAC8">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1D72C776">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575AB44F">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4DC42E9D">
            <w:pPr>
              <w:spacing w:line="560" w:lineRule="exact"/>
              <w:jc w:val="center"/>
              <w:rPr>
                <w:rFonts w:hint="eastAsia" w:ascii="宋体" w:hAnsi="宋体" w:cs="宋体"/>
                <w:b/>
                <w:sz w:val="24"/>
              </w:rPr>
            </w:pPr>
          </w:p>
        </w:tc>
      </w:tr>
      <w:tr w14:paraId="505B01A8">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14A0812E">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6C8878EE">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4A943DA5">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340DAE18">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0BDCAFAE">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2C4C5B56">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0858C3C5">
            <w:pPr>
              <w:spacing w:line="560" w:lineRule="exact"/>
              <w:jc w:val="center"/>
              <w:rPr>
                <w:rFonts w:hint="eastAsia" w:ascii="宋体" w:hAnsi="宋体" w:cs="宋体"/>
                <w:b/>
                <w:sz w:val="24"/>
              </w:rPr>
            </w:pPr>
          </w:p>
        </w:tc>
      </w:tr>
      <w:tr w14:paraId="4C8C9DF1">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4E5B607F">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2291D981">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5051FCE2">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745F4DD4">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0739B528">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4BE76BD0">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081FF1D1">
            <w:pPr>
              <w:spacing w:line="560" w:lineRule="exact"/>
              <w:jc w:val="center"/>
              <w:rPr>
                <w:rFonts w:hint="eastAsia" w:ascii="宋体" w:hAnsi="宋体" w:cs="宋体"/>
                <w:b/>
                <w:sz w:val="24"/>
              </w:rPr>
            </w:pPr>
          </w:p>
        </w:tc>
      </w:tr>
      <w:tr w14:paraId="34AAFC11">
        <w:tblPrEx>
          <w:tblCellMar>
            <w:top w:w="0" w:type="dxa"/>
            <w:left w:w="108" w:type="dxa"/>
            <w:bottom w:w="0" w:type="dxa"/>
            <w:right w:w="108" w:type="dxa"/>
          </w:tblCellMar>
        </w:tblPrEx>
        <w:tc>
          <w:tcPr>
            <w:tcW w:w="876" w:type="dxa"/>
            <w:tcBorders>
              <w:top w:val="single" w:color="auto" w:sz="4" w:space="0"/>
              <w:left w:val="single" w:color="auto" w:sz="4" w:space="0"/>
              <w:bottom w:val="single" w:color="auto" w:sz="4" w:space="0"/>
              <w:right w:val="single" w:color="auto" w:sz="4" w:space="0"/>
            </w:tcBorders>
            <w:vAlign w:val="center"/>
          </w:tcPr>
          <w:p w14:paraId="4993F72C">
            <w:pPr>
              <w:spacing w:line="560" w:lineRule="exact"/>
              <w:jc w:val="center"/>
              <w:rPr>
                <w:rFonts w:hint="eastAsia" w:ascii="宋体" w:hAnsi="宋体" w:cs="宋体"/>
                <w:b/>
                <w:sz w:val="24"/>
              </w:rPr>
            </w:pPr>
          </w:p>
        </w:tc>
        <w:tc>
          <w:tcPr>
            <w:tcW w:w="1679" w:type="dxa"/>
            <w:tcBorders>
              <w:top w:val="single" w:color="auto" w:sz="4" w:space="0"/>
              <w:left w:val="nil"/>
              <w:bottom w:val="single" w:color="auto" w:sz="4" w:space="0"/>
              <w:right w:val="single" w:color="auto" w:sz="4" w:space="0"/>
            </w:tcBorders>
          </w:tcPr>
          <w:p w14:paraId="4C7E3DE8">
            <w:pPr>
              <w:spacing w:line="560" w:lineRule="exact"/>
              <w:jc w:val="center"/>
              <w:rPr>
                <w:rFonts w:hint="eastAsia" w:ascii="宋体" w:hAnsi="宋体" w:cs="宋体"/>
                <w:b/>
                <w:sz w:val="24"/>
              </w:rPr>
            </w:pPr>
          </w:p>
        </w:tc>
        <w:tc>
          <w:tcPr>
            <w:tcW w:w="1356" w:type="dxa"/>
            <w:tcBorders>
              <w:top w:val="single" w:color="auto" w:sz="4" w:space="0"/>
              <w:left w:val="nil"/>
              <w:bottom w:val="single" w:color="auto" w:sz="4" w:space="0"/>
              <w:right w:val="single" w:color="auto" w:sz="4" w:space="0"/>
            </w:tcBorders>
          </w:tcPr>
          <w:p w14:paraId="2219CED7">
            <w:pPr>
              <w:spacing w:line="560" w:lineRule="exact"/>
              <w:jc w:val="center"/>
              <w:rPr>
                <w:rFonts w:hint="eastAsia" w:ascii="宋体" w:hAnsi="宋体" w:cs="宋体"/>
                <w:b/>
                <w:sz w:val="24"/>
              </w:rPr>
            </w:pPr>
          </w:p>
        </w:tc>
        <w:tc>
          <w:tcPr>
            <w:tcW w:w="1083" w:type="dxa"/>
            <w:tcBorders>
              <w:top w:val="single" w:color="auto" w:sz="4" w:space="0"/>
              <w:left w:val="nil"/>
              <w:bottom w:val="single" w:color="auto" w:sz="4" w:space="0"/>
              <w:right w:val="single" w:color="auto" w:sz="4" w:space="0"/>
            </w:tcBorders>
          </w:tcPr>
          <w:p w14:paraId="5320D49D">
            <w:pPr>
              <w:spacing w:line="560" w:lineRule="exact"/>
              <w:jc w:val="center"/>
              <w:rPr>
                <w:rFonts w:hint="eastAsia" w:ascii="宋体" w:hAnsi="宋体" w:cs="宋体"/>
                <w:b/>
                <w:sz w:val="24"/>
              </w:rPr>
            </w:pPr>
          </w:p>
        </w:tc>
        <w:tc>
          <w:tcPr>
            <w:tcW w:w="1691" w:type="dxa"/>
            <w:tcBorders>
              <w:top w:val="single" w:color="auto" w:sz="4" w:space="0"/>
              <w:left w:val="nil"/>
              <w:bottom w:val="single" w:color="auto" w:sz="4" w:space="0"/>
              <w:right w:val="single" w:color="auto" w:sz="4" w:space="0"/>
            </w:tcBorders>
          </w:tcPr>
          <w:p w14:paraId="2D8961F4">
            <w:pPr>
              <w:spacing w:line="560" w:lineRule="exact"/>
              <w:jc w:val="center"/>
              <w:rPr>
                <w:rFonts w:hint="eastAsia" w:ascii="宋体" w:hAnsi="宋体" w:cs="宋体"/>
                <w:b/>
                <w:sz w:val="24"/>
              </w:rPr>
            </w:pPr>
          </w:p>
        </w:tc>
        <w:tc>
          <w:tcPr>
            <w:tcW w:w="1813" w:type="dxa"/>
            <w:tcBorders>
              <w:top w:val="single" w:color="auto" w:sz="4" w:space="0"/>
              <w:left w:val="nil"/>
              <w:bottom w:val="single" w:color="auto" w:sz="4" w:space="0"/>
              <w:right w:val="single" w:color="auto" w:sz="4" w:space="0"/>
            </w:tcBorders>
          </w:tcPr>
          <w:p w14:paraId="0A7F9C18">
            <w:pPr>
              <w:spacing w:line="560" w:lineRule="exact"/>
              <w:jc w:val="center"/>
              <w:rPr>
                <w:rFonts w:hint="eastAsia" w:ascii="宋体" w:hAnsi="宋体" w:cs="宋体"/>
                <w:b/>
                <w:sz w:val="24"/>
              </w:rPr>
            </w:pPr>
          </w:p>
        </w:tc>
        <w:tc>
          <w:tcPr>
            <w:tcW w:w="1370" w:type="dxa"/>
            <w:tcBorders>
              <w:top w:val="single" w:color="auto" w:sz="4" w:space="0"/>
              <w:left w:val="nil"/>
              <w:bottom w:val="single" w:color="auto" w:sz="4" w:space="0"/>
              <w:right w:val="single" w:color="auto" w:sz="4" w:space="0"/>
            </w:tcBorders>
          </w:tcPr>
          <w:p w14:paraId="5C93FF03">
            <w:pPr>
              <w:spacing w:line="560" w:lineRule="exact"/>
              <w:jc w:val="center"/>
              <w:rPr>
                <w:rFonts w:hint="eastAsia" w:ascii="宋体" w:hAnsi="宋体" w:cs="宋体"/>
                <w:b/>
                <w:sz w:val="24"/>
              </w:rPr>
            </w:pPr>
          </w:p>
        </w:tc>
      </w:tr>
    </w:tbl>
    <w:p w14:paraId="1E94FA2F">
      <w:pPr>
        <w:spacing w:line="560" w:lineRule="exact"/>
        <w:rPr>
          <w:rFonts w:hint="eastAsia" w:ascii="宋体" w:hAnsi="宋体" w:cs="宋体"/>
          <w:b/>
          <w:sz w:val="24"/>
        </w:rPr>
      </w:pPr>
      <w:r>
        <w:rPr>
          <w:rFonts w:hint="eastAsia" w:ascii="宋体" w:hAnsi="宋体" w:cs="宋体"/>
          <w:b/>
          <w:sz w:val="24"/>
        </w:rPr>
        <w:t>备注：投标人所列业绩应按第二部分的要求将证明材料按顺序附后。</w:t>
      </w:r>
    </w:p>
    <w:p w14:paraId="544EA707">
      <w:pPr>
        <w:spacing w:line="560" w:lineRule="exact"/>
        <w:rPr>
          <w:rFonts w:hint="eastAsia" w:ascii="宋体" w:hAnsi="宋体" w:cs="宋体"/>
          <w:b/>
          <w:sz w:val="24"/>
        </w:rPr>
      </w:pPr>
    </w:p>
    <w:p w14:paraId="686A9C18">
      <w:pPr>
        <w:spacing w:line="360" w:lineRule="auto"/>
        <w:ind w:left="192"/>
        <w:rPr>
          <w:rFonts w:hint="eastAsia" w:ascii="宋体" w:hAnsi="宋体" w:cs="宋体"/>
          <w:sz w:val="24"/>
        </w:rPr>
      </w:pPr>
      <w:r>
        <w:rPr>
          <w:rFonts w:hint="eastAsia" w:ascii="宋体" w:hAnsi="宋体" w:cs="宋体"/>
          <w:sz w:val="24"/>
        </w:rPr>
        <w:t>投标人名称（公章）：_________________________</w:t>
      </w:r>
    </w:p>
    <w:p w14:paraId="5CF33BC7">
      <w:pPr>
        <w:spacing w:line="360" w:lineRule="auto"/>
        <w:ind w:left="192"/>
        <w:rPr>
          <w:rFonts w:hint="eastAsia" w:ascii="宋体" w:hAnsi="宋体" w:cs="宋体"/>
          <w:sz w:val="24"/>
        </w:rPr>
      </w:pPr>
      <w:r>
        <w:rPr>
          <w:rFonts w:hint="eastAsia" w:ascii="宋体" w:hAnsi="宋体" w:cs="宋体"/>
          <w:sz w:val="24"/>
        </w:rPr>
        <w:t>投标人代表签字：_______________</w:t>
      </w:r>
    </w:p>
    <w:p w14:paraId="7A49332E">
      <w:pPr>
        <w:spacing w:line="460" w:lineRule="exact"/>
        <w:ind w:left="192"/>
        <w:rPr>
          <w:rFonts w:hint="eastAsia" w:ascii="宋体" w:hAnsi="宋体" w:cs="宋体"/>
          <w:sz w:val="24"/>
        </w:rPr>
      </w:pPr>
      <w:r>
        <w:rPr>
          <w:rFonts w:hint="eastAsia" w:ascii="宋体" w:hAnsi="宋体" w:cs="宋体"/>
          <w:sz w:val="24"/>
        </w:rPr>
        <w:t>职务：_________日期：__________</w:t>
      </w:r>
    </w:p>
    <w:p w14:paraId="653D6F82">
      <w:pPr>
        <w:spacing w:line="460" w:lineRule="exact"/>
        <w:ind w:firstLine="3132" w:firstLineChars="1300"/>
        <w:rPr>
          <w:rFonts w:hint="eastAsia" w:ascii="宋体" w:hAnsi="宋体" w:cs="宋体"/>
          <w:b/>
          <w:sz w:val="24"/>
        </w:rPr>
      </w:pPr>
    </w:p>
    <w:p w14:paraId="00EBBB8D">
      <w:pPr>
        <w:spacing w:line="360" w:lineRule="auto"/>
        <w:jc w:val="center"/>
        <w:rPr>
          <w:rFonts w:hint="eastAsia" w:ascii="宋体" w:hAnsi="宋体" w:cs="宋体"/>
          <w:b/>
          <w:bCs/>
          <w:kern w:val="0"/>
          <w:sz w:val="24"/>
        </w:rPr>
      </w:pPr>
    </w:p>
    <w:p w14:paraId="6E86C438">
      <w:pPr>
        <w:spacing w:line="560" w:lineRule="exact"/>
        <w:ind w:left="480"/>
        <w:rPr>
          <w:rFonts w:hint="eastAsia" w:ascii="宋体" w:hAnsi="宋体" w:cs="宋体"/>
          <w:kern w:val="0"/>
          <w:sz w:val="24"/>
        </w:rPr>
      </w:pPr>
    </w:p>
    <w:p w14:paraId="43229ACC">
      <w:pPr>
        <w:rPr>
          <w:rFonts w:hint="eastAsia" w:ascii="宋体" w:hAnsi="宋体" w:cs="宋体"/>
          <w:sz w:val="24"/>
        </w:rPr>
      </w:pPr>
      <w:r>
        <w:rPr>
          <w:rFonts w:hint="eastAsia" w:ascii="宋体" w:hAnsi="宋体" w:cs="宋体"/>
          <w:sz w:val="24"/>
        </w:rPr>
        <w:br w:type="page"/>
      </w:r>
    </w:p>
    <w:p w14:paraId="21994C44">
      <w:pPr>
        <w:snapToGrid w:val="0"/>
        <w:spacing w:line="360" w:lineRule="auto"/>
        <w:rPr>
          <w:rFonts w:hint="eastAsia" w:ascii="宋体" w:hAnsi="宋体" w:cs="宋体"/>
          <w:sz w:val="24"/>
        </w:rPr>
      </w:pPr>
    </w:p>
    <w:p w14:paraId="110FA379">
      <w:pPr>
        <w:spacing w:line="360" w:lineRule="auto"/>
        <w:jc w:val="center"/>
        <w:rPr>
          <w:rFonts w:hint="eastAsia" w:ascii="宋体" w:hAnsi="宋体" w:cs="宋体"/>
          <w:b/>
          <w:bCs/>
          <w:kern w:val="0"/>
          <w:sz w:val="24"/>
        </w:rPr>
      </w:pPr>
      <w:r>
        <w:rPr>
          <w:rFonts w:hint="eastAsia" w:ascii="宋体" w:hAnsi="宋体" w:cs="宋体"/>
          <w:b/>
          <w:bCs/>
          <w:kern w:val="0"/>
          <w:sz w:val="24"/>
        </w:rPr>
        <w:t>2.拟投入人员一览表</w:t>
      </w:r>
    </w:p>
    <w:p w14:paraId="1FFF1979">
      <w:pPr>
        <w:snapToGrid w:val="0"/>
        <w:spacing w:line="360" w:lineRule="auto"/>
        <w:ind w:firstLine="480" w:firstLineChars="200"/>
        <w:rPr>
          <w:rFonts w:hint="eastAsia" w:ascii="宋体" w:hAnsi="宋体" w:cs="宋体"/>
          <w:sz w:val="24"/>
        </w:rPr>
      </w:pPr>
    </w:p>
    <w:p w14:paraId="1880F97F">
      <w:pPr>
        <w:snapToGrid w:val="0"/>
        <w:spacing w:line="360" w:lineRule="auto"/>
        <w:ind w:firstLine="480" w:firstLineChars="200"/>
        <w:rPr>
          <w:rFonts w:hint="eastAsia"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p>
    <w:p w14:paraId="26F03C01">
      <w:pPr>
        <w:snapToGrid w:val="0"/>
        <w:spacing w:line="360" w:lineRule="auto"/>
        <w:ind w:firstLine="480" w:firstLineChars="200"/>
        <w:rPr>
          <w:rFonts w:hint="eastAsia" w:ascii="宋体" w:hAnsi="宋体" w:cs="宋体"/>
          <w:sz w:val="24"/>
        </w:rPr>
      </w:pPr>
    </w:p>
    <w:tbl>
      <w:tblPr>
        <w:tblStyle w:val="40"/>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237"/>
        <w:gridCol w:w="1275"/>
        <w:gridCol w:w="825"/>
        <w:gridCol w:w="1198"/>
        <w:gridCol w:w="1320"/>
        <w:gridCol w:w="1260"/>
        <w:gridCol w:w="855"/>
      </w:tblGrid>
      <w:tr w14:paraId="1A43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Align w:val="center"/>
          </w:tcPr>
          <w:p w14:paraId="693AB50C">
            <w:pPr>
              <w:snapToGrid w:val="0"/>
              <w:spacing w:line="360" w:lineRule="auto"/>
              <w:jc w:val="center"/>
              <w:rPr>
                <w:rFonts w:hint="eastAsia" w:ascii="宋体" w:hAnsi="宋体" w:cs="宋体"/>
                <w:sz w:val="24"/>
              </w:rPr>
            </w:pPr>
            <w:r>
              <w:rPr>
                <w:rFonts w:hint="eastAsia" w:ascii="宋体" w:hAnsi="宋体" w:cs="宋体"/>
                <w:sz w:val="24"/>
              </w:rPr>
              <w:t>序号</w:t>
            </w:r>
          </w:p>
        </w:tc>
        <w:tc>
          <w:tcPr>
            <w:tcW w:w="1237" w:type="dxa"/>
            <w:vAlign w:val="center"/>
          </w:tcPr>
          <w:p w14:paraId="0C408087">
            <w:pPr>
              <w:snapToGrid w:val="0"/>
              <w:spacing w:line="360" w:lineRule="auto"/>
              <w:ind w:firstLine="480" w:firstLineChars="200"/>
              <w:jc w:val="center"/>
              <w:rPr>
                <w:rFonts w:hint="eastAsia" w:ascii="宋体" w:hAnsi="宋体" w:cs="宋体"/>
                <w:sz w:val="24"/>
              </w:rPr>
            </w:pPr>
            <w:r>
              <w:rPr>
                <w:rFonts w:hint="eastAsia" w:ascii="宋体" w:hAnsi="宋体" w:cs="宋体"/>
                <w:sz w:val="24"/>
              </w:rPr>
              <w:t>姓名</w:t>
            </w:r>
          </w:p>
        </w:tc>
        <w:tc>
          <w:tcPr>
            <w:tcW w:w="1275" w:type="dxa"/>
            <w:vAlign w:val="center"/>
          </w:tcPr>
          <w:p w14:paraId="218F757D">
            <w:pPr>
              <w:snapToGrid w:val="0"/>
              <w:spacing w:line="360" w:lineRule="auto"/>
              <w:jc w:val="center"/>
              <w:rPr>
                <w:rFonts w:hint="eastAsia" w:ascii="宋体" w:hAnsi="宋体" w:cs="宋体"/>
                <w:sz w:val="24"/>
              </w:rPr>
            </w:pPr>
            <w:r>
              <w:rPr>
                <w:rFonts w:hint="eastAsia" w:ascii="宋体" w:hAnsi="宋体" w:cs="宋体"/>
                <w:sz w:val="24"/>
              </w:rPr>
              <w:t>性别</w:t>
            </w:r>
          </w:p>
        </w:tc>
        <w:tc>
          <w:tcPr>
            <w:tcW w:w="825" w:type="dxa"/>
            <w:vAlign w:val="center"/>
          </w:tcPr>
          <w:p w14:paraId="179B09F7">
            <w:pPr>
              <w:snapToGrid w:val="0"/>
              <w:spacing w:line="360" w:lineRule="auto"/>
              <w:jc w:val="center"/>
              <w:rPr>
                <w:rFonts w:hint="eastAsia" w:ascii="宋体" w:hAnsi="宋体" w:cs="宋体"/>
                <w:sz w:val="24"/>
              </w:rPr>
            </w:pPr>
            <w:r>
              <w:rPr>
                <w:rFonts w:hint="eastAsia" w:ascii="宋体" w:hAnsi="宋体" w:cs="宋体"/>
                <w:sz w:val="24"/>
              </w:rPr>
              <w:t>年龄</w:t>
            </w:r>
          </w:p>
        </w:tc>
        <w:tc>
          <w:tcPr>
            <w:tcW w:w="1198" w:type="dxa"/>
            <w:vAlign w:val="center"/>
          </w:tcPr>
          <w:p w14:paraId="31D9FC22">
            <w:pPr>
              <w:snapToGrid w:val="0"/>
              <w:spacing w:line="360" w:lineRule="auto"/>
              <w:jc w:val="center"/>
              <w:rPr>
                <w:rFonts w:hint="eastAsia" w:ascii="宋体" w:hAnsi="宋体" w:cs="宋体"/>
                <w:sz w:val="24"/>
              </w:rPr>
            </w:pPr>
            <w:r>
              <w:rPr>
                <w:rFonts w:hint="eastAsia" w:ascii="宋体" w:hAnsi="宋体" w:cs="宋体"/>
                <w:sz w:val="24"/>
              </w:rPr>
              <w:t>从业年限</w:t>
            </w:r>
          </w:p>
        </w:tc>
        <w:tc>
          <w:tcPr>
            <w:tcW w:w="1320" w:type="dxa"/>
            <w:vAlign w:val="center"/>
          </w:tcPr>
          <w:p w14:paraId="12AA6F0F">
            <w:pPr>
              <w:snapToGrid w:val="0"/>
              <w:spacing w:line="360" w:lineRule="auto"/>
              <w:jc w:val="center"/>
              <w:rPr>
                <w:rFonts w:hint="eastAsia" w:ascii="宋体" w:hAnsi="宋体" w:cs="宋体"/>
                <w:sz w:val="24"/>
              </w:rPr>
            </w:pPr>
            <w:r>
              <w:rPr>
                <w:rFonts w:hint="eastAsia" w:ascii="宋体" w:hAnsi="宋体" w:cs="宋体"/>
                <w:sz w:val="24"/>
              </w:rPr>
              <w:t>资格证书</w:t>
            </w:r>
          </w:p>
        </w:tc>
        <w:tc>
          <w:tcPr>
            <w:tcW w:w="1260" w:type="dxa"/>
            <w:vAlign w:val="center"/>
          </w:tcPr>
          <w:p w14:paraId="2F734999">
            <w:pPr>
              <w:snapToGrid w:val="0"/>
              <w:spacing w:line="360" w:lineRule="auto"/>
              <w:jc w:val="center"/>
              <w:rPr>
                <w:rFonts w:hint="eastAsia" w:ascii="宋体" w:hAnsi="宋体" w:cs="宋体"/>
                <w:sz w:val="24"/>
              </w:rPr>
            </w:pPr>
            <w:r>
              <w:rPr>
                <w:rFonts w:hint="eastAsia" w:ascii="宋体" w:hAnsi="宋体" w:cs="宋体"/>
                <w:sz w:val="24"/>
              </w:rPr>
              <w:t>拟任职务</w:t>
            </w:r>
          </w:p>
        </w:tc>
        <w:tc>
          <w:tcPr>
            <w:tcW w:w="855" w:type="dxa"/>
            <w:vAlign w:val="center"/>
          </w:tcPr>
          <w:p w14:paraId="74DB406E">
            <w:pPr>
              <w:snapToGrid w:val="0"/>
              <w:spacing w:line="360" w:lineRule="auto"/>
              <w:jc w:val="center"/>
              <w:rPr>
                <w:rFonts w:hint="eastAsia" w:ascii="宋体" w:hAnsi="宋体" w:cs="宋体"/>
                <w:sz w:val="24"/>
              </w:rPr>
            </w:pPr>
            <w:r>
              <w:rPr>
                <w:rFonts w:hint="eastAsia" w:ascii="宋体" w:hAnsi="宋体" w:cs="宋体"/>
                <w:sz w:val="24"/>
              </w:rPr>
              <w:t>备注</w:t>
            </w:r>
          </w:p>
        </w:tc>
      </w:tr>
      <w:tr w14:paraId="0148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Align w:val="center"/>
          </w:tcPr>
          <w:p w14:paraId="32011B51">
            <w:pPr>
              <w:snapToGrid w:val="0"/>
              <w:spacing w:line="360" w:lineRule="auto"/>
              <w:ind w:firstLine="480" w:firstLineChars="200"/>
              <w:rPr>
                <w:rFonts w:hint="eastAsia" w:ascii="宋体" w:hAnsi="宋体" w:cs="宋体"/>
                <w:sz w:val="24"/>
              </w:rPr>
            </w:pPr>
            <w:r>
              <w:rPr>
                <w:rFonts w:hint="eastAsia" w:ascii="宋体" w:hAnsi="宋体" w:cs="宋体"/>
                <w:sz w:val="24"/>
              </w:rPr>
              <w:t>1</w:t>
            </w:r>
          </w:p>
        </w:tc>
        <w:tc>
          <w:tcPr>
            <w:tcW w:w="1237" w:type="dxa"/>
            <w:vAlign w:val="center"/>
          </w:tcPr>
          <w:p w14:paraId="6F81B901">
            <w:pPr>
              <w:snapToGrid w:val="0"/>
              <w:spacing w:line="360" w:lineRule="auto"/>
              <w:ind w:firstLine="480" w:firstLineChars="200"/>
              <w:rPr>
                <w:rFonts w:hint="eastAsia" w:ascii="宋体" w:hAnsi="宋体" w:cs="宋体"/>
                <w:sz w:val="24"/>
              </w:rPr>
            </w:pPr>
          </w:p>
        </w:tc>
        <w:tc>
          <w:tcPr>
            <w:tcW w:w="1275" w:type="dxa"/>
            <w:vAlign w:val="center"/>
          </w:tcPr>
          <w:p w14:paraId="5EA35F9C">
            <w:pPr>
              <w:snapToGrid w:val="0"/>
              <w:spacing w:line="360" w:lineRule="auto"/>
              <w:ind w:firstLine="480" w:firstLineChars="200"/>
              <w:rPr>
                <w:rFonts w:hint="eastAsia" w:ascii="宋体" w:hAnsi="宋体" w:cs="宋体"/>
                <w:sz w:val="24"/>
              </w:rPr>
            </w:pPr>
          </w:p>
        </w:tc>
        <w:tc>
          <w:tcPr>
            <w:tcW w:w="825" w:type="dxa"/>
            <w:vAlign w:val="center"/>
          </w:tcPr>
          <w:p w14:paraId="3C97D471">
            <w:pPr>
              <w:snapToGrid w:val="0"/>
              <w:spacing w:line="360" w:lineRule="auto"/>
              <w:ind w:firstLine="480" w:firstLineChars="200"/>
              <w:rPr>
                <w:rFonts w:hint="eastAsia" w:ascii="宋体" w:hAnsi="宋体" w:cs="宋体"/>
                <w:sz w:val="24"/>
              </w:rPr>
            </w:pPr>
          </w:p>
        </w:tc>
        <w:tc>
          <w:tcPr>
            <w:tcW w:w="1198" w:type="dxa"/>
            <w:vAlign w:val="center"/>
          </w:tcPr>
          <w:p w14:paraId="27BDB4B1">
            <w:pPr>
              <w:snapToGrid w:val="0"/>
              <w:spacing w:line="360" w:lineRule="auto"/>
              <w:ind w:firstLine="480" w:firstLineChars="200"/>
              <w:rPr>
                <w:rFonts w:hint="eastAsia" w:ascii="宋体" w:hAnsi="宋体" w:cs="宋体"/>
                <w:sz w:val="24"/>
              </w:rPr>
            </w:pPr>
          </w:p>
        </w:tc>
        <w:tc>
          <w:tcPr>
            <w:tcW w:w="1320" w:type="dxa"/>
            <w:vAlign w:val="center"/>
          </w:tcPr>
          <w:p w14:paraId="33C9A246">
            <w:pPr>
              <w:snapToGrid w:val="0"/>
              <w:spacing w:line="360" w:lineRule="auto"/>
              <w:ind w:firstLine="480" w:firstLineChars="200"/>
              <w:rPr>
                <w:rFonts w:hint="eastAsia" w:ascii="宋体" w:hAnsi="宋体" w:cs="宋体"/>
                <w:sz w:val="24"/>
              </w:rPr>
            </w:pPr>
          </w:p>
        </w:tc>
        <w:tc>
          <w:tcPr>
            <w:tcW w:w="1260" w:type="dxa"/>
            <w:vAlign w:val="center"/>
          </w:tcPr>
          <w:p w14:paraId="59632534">
            <w:pPr>
              <w:snapToGrid w:val="0"/>
              <w:spacing w:line="360" w:lineRule="auto"/>
              <w:ind w:firstLine="480" w:firstLineChars="200"/>
              <w:rPr>
                <w:rFonts w:hint="eastAsia" w:ascii="宋体" w:hAnsi="宋体" w:cs="宋体"/>
                <w:sz w:val="24"/>
              </w:rPr>
            </w:pPr>
          </w:p>
        </w:tc>
        <w:tc>
          <w:tcPr>
            <w:tcW w:w="855" w:type="dxa"/>
            <w:vAlign w:val="center"/>
          </w:tcPr>
          <w:p w14:paraId="4B972A8F">
            <w:pPr>
              <w:snapToGrid w:val="0"/>
              <w:spacing w:line="360" w:lineRule="auto"/>
              <w:ind w:firstLine="480" w:firstLineChars="200"/>
              <w:rPr>
                <w:rFonts w:hint="eastAsia" w:ascii="宋体" w:hAnsi="宋体" w:cs="宋体"/>
                <w:sz w:val="24"/>
              </w:rPr>
            </w:pPr>
          </w:p>
        </w:tc>
      </w:tr>
      <w:tr w14:paraId="0310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Align w:val="center"/>
          </w:tcPr>
          <w:p w14:paraId="587BA94D">
            <w:pPr>
              <w:snapToGrid w:val="0"/>
              <w:spacing w:line="360" w:lineRule="auto"/>
              <w:ind w:firstLine="480" w:firstLineChars="200"/>
              <w:rPr>
                <w:rFonts w:hint="eastAsia" w:ascii="宋体" w:hAnsi="宋体" w:cs="宋体"/>
                <w:sz w:val="24"/>
              </w:rPr>
            </w:pPr>
            <w:r>
              <w:rPr>
                <w:rFonts w:hint="eastAsia" w:ascii="宋体" w:hAnsi="宋体" w:cs="宋体"/>
                <w:sz w:val="24"/>
              </w:rPr>
              <w:t>2</w:t>
            </w:r>
          </w:p>
        </w:tc>
        <w:tc>
          <w:tcPr>
            <w:tcW w:w="1237" w:type="dxa"/>
            <w:vAlign w:val="center"/>
          </w:tcPr>
          <w:p w14:paraId="1B1AD8A0">
            <w:pPr>
              <w:snapToGrid w:val="0"/>
              <w:spacing w:line="360" w:lineRule="auto"/>
              <w:ind w:firstLine="480" w:firstLineChars="200"/>
              <w:rPr>
                <w:rFonts w:hint="eastAsia" w:ascii="宋体" w:hAnsi="宋体" w:cs="宋体"/>
                <w:sz w:val="24"/>
              </w:rPr>
            </w:pPr>
          </w:p>
        </w:tc>
        <w:tc>
          <w:tcPr>
            <w:tcW w:w="1275" w:type="dxa"/>
            <w:vAlign w:val="center"/>
          </w:tcPr>
          <w:p w14:paraId="6FF53568">
            <w:pPr>
              <w:snapToGrid w:val="0"/>
              <w:spacing w:line="360" w:lineRule="auto"/>
              <w:ind w:firstLine="480" w:firstLineChars="200"/>
              <w:rPr>
                <w:rFonts w:hint="eastAsia" w:ascii="宋体" w:hAnsi="宋体" w:cs="宋体"/>
                <w:sz w:val="24"/>
              </w:rPr>
            </w:pPr>
          </w:p>
        </w:tc>
        <w:tc>
          <w:tcPr>
            <w:tcW w:w="825" w:type="dxa"/>
            <w:vAlign w:val="center"/>
          </w:tcPr>
          <w:p w14:paraId="2D0EDB55">
            <w:pPr>
              <w:snapToGrid w:val="0"/>
              <w:spacing w:line="360" w:lineRule="auto"/>
              <w:ind w:firstLine="480" w:firstLineChars="200"/>
              <w:rPr>
                <w:rFonts w:hint="eastAsia" w:ascii="宋体" w:hAnsi="宋体" w:cs="宋体"/>
                <w:sz w:val="24"/>
              </w:rPr>
            </w:pPr>
          </w:p>
        </w:tc>
        <w:tc>
          <w:tcPr>
            <w:tcW w:w="1198" w:type="dxa"/>
            <w:vAlign w:val="center"/>
          </w:tcPr>
          <w:p w14:paraId="2E010BCB">
            <w:pPr>
              <w:snapToGrid w:val="0"/>
              <w:spacing w:line="360" w:lineRule="auto"/>
              <w:ind w:firstLine="480" w:firstLineChars="200"/>
              <w:rPr>
                <w:rFonts w:hint="eastAsia" w:ascii="宋体" w:hAnsi="宋体" w:cs="宋体"/>
                <w:sz w:val="24"/>
              </w:rPr>
            </w:pPr>
          </w:p>
        </w:tc>
        <w:tc>
          <w:tcPr>
            <w:tcW w:w="1320" w:type="dxa"/>
            <w:vAlign w:val="center"/>
          </w:tcPr>
          <w:p w14:paraId="792E4242">
            <w:pPr>
              <w:snapToGrid w:val="0"/>
              <w:spacing w:line="360" w:lineRule="auto"/>
              <w:ind w:firstLine="480" w:firstLineChars="200"/>
              <w:rPr>
                <w:rFonts w:hint="eastAsia" w:ascii="宋体" w:hAnsi="宋体" w:cs="宋体"/>
                <w:sz w:val="24"/>
              </w:rPr>
            </w:pPr>
          </w:p>
        </w:tc>
        <w:tc>
          <w:tcPr>
            <w:tcW w:w="1260" w:type="dxa"/>
            <w:vAlign w:val="center"/>
          </w:tcPr>
          <w:p w14:paraId="7EB0E42B">
            <w:pPr>
              <w:snapToGrid w:val="0"/>
              <w:spacing w:line="360" w:lineRule="auto"/>
              <w:ind w:firstLine="480" w:firstLineChars="200"/>
              <w:rPr>
                <w:rFonts w:hint="eastAsia" w:ascii="宋体" w:hAnsi="宋体" w:cs="宋体"/>
                <w:sz w:val="24"/>
              </w:rPr>
            </w:pPr>
          </w:p>
        </w:tc>
        <w:tc>
          <w:tcPr>
            <w:tcW w:w="855" w:type="dxa"/>
            <w:vAlign w:val="center"/>
          </w:tcPr>
          <w:p w14:paraId="632E521C">
            <w:pPr>
              <w:snapToGrid w:val="0"/>
              <w:spacing w:line="360" w:lineRule="auto"/>
              <w:ind w:firstLine="480" w:firstLineChars="200"/>
              <w:rPr>
                <w:rFonts w:hint="eastAsia" w:ascii="宋体" w:hAnsi="宋体" w:cs="宋体"/>
                <w:sz w:val="24"/>
              </w:rPr>
            </w:pPr>
          </w:p>
        </w:tc>
      </w:tr>
      <w:tr w14:paraId="1BD3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Align w:val="center"/>
          </w:tcPr>
          <w:p w14:paraId="3B41DC7B">
            <w:pPr>
              <w:snapToGrid w:val="0"/>
              <w:spacing w:line="360" w:lineRule="auto"/>
              <w:ind w:firstLine="480" w:firstLineChars="200"/>
              <w:rPr>
                <w:rFonts w:hint="eastAsia" w:ascii="宋体" w:hAnsi="宋体" w:cs="宋体"/>
                <w:sz w:val="24"/>
              </w:rPr>
            </w:pPr>
            <w:r>
              <w:rPr>
                <w:rFonts w:hint="eastAsia" w:ascii="宋体" w:hAnsi="宋体" w:cs="宋体"/>
                <w:sz w:val="24"/>
              </w:rPr>
              <w:t>3</w:t>
            </w:r>
          </w:p>
        </w:tc>
        <w:tc>
          <w:tcPr>
            <w:tcW w:w="1237" w:type="dxa"/>
            <w:vAlign w:val="center"/>
          </w:tcPr>
          <w:p w14:paraId="68B43BDE">
            <w:pPr>
              <w:snapToGrid w:val="0"/>
              <w:spacing w:line="360" w:lineRule="auto"/>
              <w:ind w:firstLine="480" w:firstLineChars="200"/>
              <w:rPr>
                <w:rFonts w:hint="eastAsia" w:ascii="宋体" w:hAnsi="宋体" w:cs="宋体"/>
                <w:sz w:val="24"/>
              </w:rPr>
            </w:pPr>
          </w:p>
        </w:tc>
        <w:tc>
          <w:tcPr>
            <w:tcW w:w="1275" w:type="dxa"/>
            <w:vAlign w:val="center"/>
          </w:tcPr>
          <w:p w14:paraId="656994AE">
            <w:pPr>
              <w:snapToGrid w:val="0"/>
              <w:spacing w:line="360" w:lineRule="auto"/>
              <w:ind w:firstLine="480" w:firstLineChars="200"/>
              <w:rPr>
                <w:rFonts w:hint="eastAsia" w:ascii="宋体" w:hAnsi="宋体" w:cs="宋体"/>
                <w:sz w:val="24"/>
              </w:rPr>
            </w:pPr>
          </w:p>
        </w:tc>
        <w:tc>
          <w:tcPr>
            <w:tcW w:w="825" w:type="dxa"/>
            <w:vAlign w:val="center"/>
          </w:tcPr>
          <w:p w14:paraId="1E79B9AB">
            <w:pPr>
              <w:snapToGrid w:val="0"/>
              <w:spacing w:line="360" w:lineRule="auto"/>
              <w:ind w:firstLine="480" w:firstLineChars="200"/>
              <w:rPr>
                <w:rFonts w:hint="eastAsia" w:ascii="宋体" w:hAnsi="宋体" w:cs="宋体"/>
                <w:sz w:val="24"/>
              </w:rPr>
            </w:pPr>
          </w:p>
        </w:tc>
        <w:tc>
          <w:tcPr>
            <w:tcW w:w="1198" w:type="dxa"/>
            <w:vAlign w:val="center"/>
          </w:tcPr>
          <w:p w14:paraId="3ED4A286">
            <w:pPr>
              <w:snapToGrid w:val="0"/>
              <w:spacing w:line="360" w:lineRule="auto"/>
              <w:ind w:firstLine="480" w:firstLineChars="200"/>
              <w:rPr>
                <w:rFonts w:hint="eastAsia" w:ascii="宋体" w:hAnsi="宋体" w:cs="宋体"/>
                <w:sz w:val="24"/>
              </w:rPr>
            </w:pPr>
          </w:p>
        </w:tc>
        <w:tc>
          <w:tcPr>
            <w:tcW w:w="1320" w:type="dxa"/>
            <w:vAlign w:val="center"/>
          </w:tcPr>
          <w:p w14:paraId="7E6BBA81">
            <w:pPr>
              <w:snapToGrid w:val="0"/>
              <w:spacing w:line="360" w:lineRule="auto"/>
              <w:ind w:firstLine="480" w:firstLineChars="200"/>
              <w:rPr>
                <w:rFonts w:hint="eastAsia" w:ascii="宋体" w:hAnsi="宋体" w:cs="宋体"/>
                <w:sz w:val="24"/>
              </w:rPr>
            </w:pPr>
          </w:p>
        </w:tc>
        <w:tc>
          <w:tcPr>
            <w:tcW w:w="1260" w:type="dxa"/>
            <w:vAlign w:val="center"/>
          </w:tcPr>
          <w:p w14:paraId="05DEE02D">
            <w:pPr>
              <w:snapToGrid w:val="0"/>
              <w:spacing w:line="360" w:lineRule="auto"/>
              <w:ind w:firstLine="480" w:firstLineChars="200"/>
              <w:rPr>
                <w:rFonts w:hint="eastAsia" w:ascii="宋体" w:hAnsi="宋体" w:cs="宋体"/>
                <w:sz w:val="24"/>
              </w:rPr>
            </w:pPr>
          </w:p>
        </w:tc>
        <w:tc>
          <w:tcPr>
            <w:tcW w:w="855" w:type="dxa"/>
            <w:vAlign w:val="center"/>
          </w:tcPr>
          <w:p w14:paraId="524AD4D2">
            <w:pPr>
              <w:snapToGrid w:val="0"/>
              <w:spacing w:line="360" w:lineRule="auto"/>
              <w:ind w:firstLine="480" w:firstLineChars="200"/>
              <w:rPr>
                <w:rFonts w:hint="eastAsia" w:ascii="宋体" w:hAnsi="宋体" w:cs="宋体"/>
                <w:sz w:val="24"/>
              </w:rPr>
            </w:pPr>
          </w:p>
        </w:tc>
      </w:tr>
      <w:tr w14:paraId="3018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vAlign w:val="center"/>
          </w:tcPr>
          <w:p w14:paraId="15E99E2C">
            <w:pPr>
              <w:snapToGrid w:val="0"/>
              <w:spacing w:line="360" w:lineRule="auto"/>
              <w:ind w:firstLine="480" w:firstLineChars="200"/>
              <w:rPr>
                <w:rFonts w:hint="eastAsia" w:ascii="宋体" w:hAnsi="宋体" w:cs="宋体"/>
                <w:sz w:val="24"/>
              </w:rPr>
            </w:pPr>
            <w:r>
              <w:rPr>
                <w:rFonts w:hint="eastAsia" w:ascii="宋体" w:hAnsi="宋体" w:cs="宋体"/>
                <w:sz w:val="24"/>
              </w:rPr>
              <w:t>…</w:t>
            </w:r>
          </w:p>
        </w:tc>
        <w:tc>
          <w:tcPr>
            <w:tcW w:w="1237" w:type="dxa"/>
            <w:vAlign w:val="center"/>
          </w:tcPr>
          <w:p w14:paraId="3E65B4D5">
            <w:pPr>
              <w:snapToGrid w:val="0"/>
              <w:spacing w:line="360" w:lineRule="auto"/>
              <w:ind w:firstLine="480" w:firstLineChars="200"/>
              <w:rPr>
                <w:rFonts w:hint="eastAsia" w:ascii="宋体" w:hAnsi="宋体" w:cs="宋体"/>
                <w:sz w:val="24"/>
              </w:rPr>
            </w:pPr>
          </w:p>
        </w:tc>
        <w:tc>
          <w:tcPr>
            <w:tcW w:w="1275" w:type="dxa"/>
            <w:vAlign w:val="center"/>
          </w:tcPr>
          <w:p w14:paraId="5ED727B8">
            <w:pPr>
              <w:snapToGrid w:val="0"/>
              <w:spacing w:line="360" w:lineRule="auto"/>
              <w:ind w:firstLine="480" w:firstLineChars="200"/>
              <w:rPr>
                <w:rFonts w:hint="eastAsia" w:ascii="宋体" w:hAnsi="宋体" w:cs="宋体"/>
                <w:sz w:val="24"/>
              </w:rPr>
            </w:pPr>
          </w:p>
        </w:tc>
        <w:tc>
          <w:tcPr>
            <w:tcW w:w="825" w:type="dxa"/>
            <w:vAlign w:val="center"/>
          </w:tcPr>
          <w:p w14:paraId="7F1B9D99">
            <w:pPr>
              <w:snapToGrid w:val="0"/>
              <w:spacing w:line="360" w:lineRule="auto"/>
              <w:ind w:firstLine="480" w:firstLineChars="200"/>
              <w:rPr>
                <w:rFonts w:hint="eastAsia" w:ascii="宋体" w:hAnsi="宋体" w:cs="宋体"/>
                <w:sz w:val="24"/>
              </w:rPr>
            </w:pPr>
          </w:p>
        </w:tc>
        <w:tc>
          <w:tcPr>
            <w:tcW w:w="1198" w:type="dxa"/>
            <w:vAlign w:val="center"/>
          </w:tcPr>
          <w:p w14:paraId="6179FC07">
            <w:pPr>
              <w:snapToGrid w:val="0"/>
              <w:spacing w:line="360" w:lineRule="auto"/>
              <w:ind w:firstLine="480" w:firstLineChars="200"/>
              <w:rPr>
                <w:rFonts w:hint="eastAsia" w:ascii="宋体" w:hAnsi="宋体" w:cs="宋体"/>
                <w:sz w:val="24"/>
              </w:rPr>
            </w:pPr>
          </w:p>
        </w:tc>
        <w:tc>
          <w:tcPr>
            <w:tcW w:w="1320" w:type="dxa"/>
            <w:vAlign w:val="center"/>
          </w:tcPr>
          <w:p w14:paraId="1FC685B7">
            <w:pPr>
              <w:snapToGrid w:val="0"/>
              <w:spacing w:line="360" w:lineRule="auto"/>
              <w:ind w:firstLine="480" w:firstLineChars="200"/>
              <w:rPr>
                <w:rFonts w:hint="eastAsia" w:ascii="宋体" w:hAnsi="宋体" w:cs="宋体"/>
                <w:sz w:val="24"/>
              </w:rPr>
            </w:pPr>
          </w:p>
        </w:tc>
        <w:tc>
          <w:tcPr>
            <w:tcW w:w="1260" w:type="dxa"/>
            <w:vAlign w:val="center"/>
          </w:tcPr>
          <w:p w14:paraId="1E0489E9">
            <w:pPr>
              <w:snapToGrid w:val="0"/>
              <w:spacing w:line="360" w:lineRule="auto"/>
              <w:ind w:firstLine="480" w:firstLineChars="200"/>
              <w:rPr>
                <w:rFonts w:hint="eastAsia" w:ascii="宋体" w:hAnsi="宋体" w:cs="宋体"/>
                <w:sz w:val="24"/>
              </w:rPr>
            </w:pPr>
          </w:p>
        </w:tc>
        <w:tc>
          <w:tcPr>
            <w:tcW w:w="855" w:type="dxa"/>
            <w:vAlign w:val="center"/>
          </w:tcPr>
          <w:p w14:paraId="2F2B6D9D">
            <w:pPr>
              <w:snapToGrid w:val="0"/>
              <w:spacing w:line="360" w:lineRule="auto"/>
              <w:ind w:firstLine="480" w:firstLineChars="200"/>
              <w:rPr>
                <w:rFonts w:hint="eastAsia" w:ascii="宋体" w:hAnsi="宋体" w:cs="宋体"/>
                <w:sz w:val="24"/>
              </w:rPr>
            </w:pPr>
          </w:p>
        </w:tc>
      </w:tr>
    </w:tbl>
    <w:p w14:paraId="44B62BE8">
      <w:pPr>
        <w:snapToGrid w:val="0"/>
        <w:spacing w:line="360" w:lineRule="auto"/>
        <w:ind w:firstLine="480" w:firstLineChars="200"/>
        <w:rPr>
          <w:rFonts w:hint="eastAsia" w:ascii="宋体" w:hAnsi="宋体" w:cs="宋体"/>
          <w:sz w:val="24"/>
        </w:rPr>
      </w:pPr>
    </w:p>
    <w:p w14:paraId="1BBF3F98">
      <w:pPr>
        <w:snapToGrid w:val="0"/>
        <w:spacing w:line="360" w:lineRule="auto"/>
        <w:ind w:firstLine="480" w:firstLineChars="200"/>
        <w:rPr>
          <w:rFonts w:hint="eastAsia" w:ascii="宋体" w:hAnsi="宋体" w:cs="宋体"/>
          <w:sz w:val="24"/>
        </w:rPr>
      </w:pPr>
    </w:p>
    <w:p w14:paraId="12F77BAB">
      <w:pPr>
        <w:snapToGrid w:val="0"/>
        <w:spacing w:line="360" w:lineRule="auto"/>
        <w:ind w:firstLine="480" w:firstLineChars="200"/>
        <w:rPr>
          <w:rFonts w:hint="eastAsia" w:ascii="宋体" w:hAnsi="宋体" w:cs="宋体"/>
          <w:sz w:val="24"/>
        </w:rPr>
      </w:pPr>
    </w:p>
    <w:p w14:paraId="3B50139B">
      <w:pPr>
        <w:snapToGrid w:val="0"/>
        <w:spacing w:line="360" w:lineRule="auto"/>
        <w:ind w:firstLine="480" w:firstLineChars="200"/>
        <w:rPr>
          <w:rFonts w:hint="eastAsia" w:ascii="宋体" w:hAnsi="宋体" w:cs="宋体"/>
          <w:sz w:val="24"/>
        </w:rPr>
      </w:pPr>
    </w:p>
    <w:p w14:paraId="0A0CFBE7">
      <w:pPr>
        <w:snapToGrid w:val="0"/>
        <w:spacing w:line="360" w:lineRule="auto"/>
        <w:ind w:firstLine="480" w:firstLineChars="200"/>
        <w:rPr>
          <w:rFonts w:hint="eastAsia" w:ascii="宋体" w:hAnsi="宋体" w:cs="宋体"/>
          <w:sz w:val="24"/>
        </w:rPr>
      </w:pPr>
    </w:p>
    <w:p w14:paraId="2F28712F">
      <w:pPr>
        <w:spacing w:line="360" w:lineRule="auto"/>
        <w:rPr>
          <w:rFonts w:hint="eastAsia" w:ascii="宋体" w:hAnsi="宋体" w:cs="宋体"/>
          <w:sz w:val="24"/>
        </w:rPr>
      </w:pPr>
      <w:r>
        <w:rPr>
          <w:rFonts w:hint="eastAsia" w:ascii="宋体" w:hAnsi="宋体" w:cs="宋体"/>
          <w:sz w:val="24"/>
        </w:rPr>
        <w:t>投标人名称（公章）：_________________________</w:t>
      </w:r>
    </w:p>
    <w:p w14:paraId="3D8AEE9E">
      <w:pPr>
        <w:spacing w:line="360" w:lineRule="auto"/>
        <w:rPr>
          <w:rFonts w:hint="eastAsia" w:ascii="宋体" w:hAnsi="宋体" w:cs="宋体"/>
          <w:sz w:val="24"/>
        </w:rPr>
      </w:pPr>
      <w:r>
        <w:rPr>
          <w:rFonts w:hint="eastAsia" w:ascii="宋体" w:hAnsi="宋体" w:cs="宋体"/>
          <w:sz w:val="24"/>
        </w:rPr>
        <w:t>投标人代表签字：_______________</w:t>
      </w:r>
    </w:p>
    <w:p w14:paraId="15F0F55F">
      <w:pPr>
        <w:rPr>
          <w:rFonts w:hint="eastAsia" w:ascii="宋体" w:hAnsi="宋体" w:cs="宋体"/>
          <w:sz w:val="24"/>
        </w:rPr>
      </w:pPr>
      <w:r>
        <w:rPr>
          <w:rFonts w:hint="eastAsia" w:ascii="宋体" w:hAnsi="宋体" w:cs="宋体"/>
          <w:sz w:val="24"/>
        </w:rPr>
        <w:t>职务：_________日期：__________</w:t>
      </w:r>
    </w:p>
    <w:p w14:paraId="58020C69">
      <w:pPr>
        <w:rPr>
          <w:rFonts w:hint="eastAsia" w:ascii="宋体" w:hAnsi="宋体" w:cs="宋体"/>
          <w:sz w:val="24"/>
        </w:rPr>
      </w:pPr>
    </w:p>
    <w:p w14:paraId="61A2FC3F">
      <w:pPr>
        <w:rPr>
          <w:rFonts w:hint="eastAsia" w:ascii="宋体" w:hAnsi="宋体" w:cs="宋体"/>
          <w:sz w:val="24"/>
        </w:rPr>
      </w:pPr>
    </w:p>
    <w:p w14:paraId="44B3F080">
      <w:pPr>
        <w:rPr>
          <w:rFonts w:hint="eastAsia" w:ascii="宋体" w:hAnsi="宋体" w:cs="宋体"/>
          <w:sz w:val="24"/>
        </w:rPr>
      </w:pPr>
    </w:p>
    <w:p w14:paraId="461E42C1">
      <w:pPr>
        <w:jc w:val="center"/>
        <w:rPr>
          <w:rFonts w:hint="eastAsia" w:ascii="宋体" w:hAnsi="宋体" w:cs="宋体"/>
          <w:b/>
          <w:bCs/>
          <w:kern w:val="0"/>
          <w:sz w:val="24"/>
        </w:rPr>
      </w:pPr>
    </w:p>
    <w:p w14:paraId="11F3C14E">
      <w:pPr>
        <w:jc w:val="center"/>
        <w:rPr>
          <w:rFonts w:hint="eastAsia" w:ascii="宋体" w:hAnsi="宋体" w:cs="宋体"/>
          <w:b/>
          <w:bCs/>
          <w:kern w:val="0"/>
          <w:sz w:val="24"/>
        </w:rPr>
      </w:pPr>
    </w:p>
    <w:p w14:paraId="4F4B82FC">
      <w:pPr>
        <w:jc w:val="center"/>
        <w:rPr>
          <w:rFonts w:hint="eastAsia" w:ascii="宋体" w:hAnsi="宋体" w:cs="宋体"/>
          <w:b/>
          <w:bCs/>
          <w:kern w:val="0"/>
          <w:sz w:val="24"/>
        </w:rPr>
      </w:pPr>
    </w:p>
    <w:p w14:paraId="1EECD97C">
      <w:pPr>
        <w:spacing w:line="360" w:lineRule="auto"/>
        <w:jc w:val="left"/>
        <w:rPr>
          <w:rFonts w:hint="eastAsia" w:ascii="宋体" w:hAnsi="宋体" w:cs="宋体"/>
          <w:b/>
          <w:bCs/>
          <w:kern w:val="0"/>
          <w:sz w:val="24"/>
        </w:rPr>
      </w:pPr>
    </w:p>
    <w:p w14:paraId="7F603F03">
      <w:pPr>
        <w:spacing w:line="360" w:lineRule="auto"/>
        <w:jc w:val="left"/>
        <w:rPr>
          <w:rFonts w:hint="eastAsia" w:ascii="宋体" w:hAnsi="宋体" w:cs="宋体"/>
          <w:b/>
          <w:bCs/>
          <w:kern w:val="0"/>
          <w:sz w:val="24"/>
        </w:rPr>
      </w:pPr>
    </w:p>
    <w:p w14:paraId="2A5E558B">
      <w:pPr>
        <w:spacing w:line="360" w:lineRule="auto"/>
        <w:jc w:val="left"/>
        <w:rPr>
          <w:rFonts w:hint="eastAsia" w:ascii="宋体" w:hAnsi="宋体" w:cs="宋体"/>
          <w:b/>
          <w:bCs/>
          <w:kern w:val="0"/>
          <w:sz w:val="24"/>
        </w:rPr>
      </w:pPr>
    </w:p>
    <w:p w14:paraId="00048E4A">
      <w:pPr>
        <w:spacing w:line="360" w:lineRule="auto"/>
        <w:jc w:val="left"/>
        <w:rPr>
          <w:rFonts w:hint="eastAsia" w:ascii="宋体" w:hAnsi="宋体" w:cs="宋体"/>
          <w:b/>
          <w:bCs/>
          <w:kern w:val="0"/>
          <w:sz w:val="24"/>
        </w:rPr>
      </w:pPr>
    </w:p>
    <w:p w14:paraId="49D369B9">
      <w:pPr>
        <w:spacing w:line="360" w:lineRule="auto"/>
        <w:jc w:val="left"/>
        <w:rPr>
          <w:rFonts w:hint="eastAsia" w:ascii="宋体" w:hAnsi="宋体" w:cs="宋体"/>
          <w:b/>
          <w:bCs/>
          <w:kern w:val="0"/>
          <w:sz w:val="24"/>
        </w:rPr>
      </w:pPr>
    </w:p>
    <w:p w14:paraId="4E8BCAEE">
      <w:pPr>
        <w:spacing w:line="360" w:lineRule="auto"/>
        <w:jc w:val="left"/>
        <w:rPr>
          <w:rFonts w:hint="eastAsia" w:ascii="宋体" w:hAnsi="宋体" w:cs="宋体"/>
          <w:b/>
          <w:bCs/>
          <w:kern w:val="0"/>
          <w:sz w:val="24"/>
        </w:rPr>
      </w:pPr>
    </w:p>
    <w:p w14:paraId="63F4E34D">
      <w:pPr>
        <w:spacing w:line="360" w:lineRule="auto"/>
        <w:jc w:val="left"/>
        <w:rPr>
          <w:rFonts w:hint="eastAsia" w:ascii="宋体" w:hAnsi="宋体" w:cs="宋体"/>
          <w:b/>
          <w:bCs/>
          <w:kern w:val="0"/>
          <w:sz w:val="24"/>
        </w:rPr>
      </w:pPr>
    </w:p>
    <w:p w14:paraId="44C0EED1">
      <w:pPr>
        <w:spacing w:line="360" w:lineRule="auto"/>
        <w:jc w:val="left"/>
        <w:rPr>
          <w:rFonts w:hint="eastAsia" w:ascii="宋体" w:hAnsi="宋体" w:cs="宋体"/>
          <w:b/>
          <w:bCs/>
          <w:kern w:val="0"/>
          <w:sz w:val="24"/>
        </w:rPr>
      </w:pPr>
    </w:p>
    <w:p w14:paraId="3896ACB5">
      <w:pPr>
        <w:spacing w:line="360" w:lineRule="auto"/>
        <w:jc w:val="left"/>
        <w:rPr>
          <w:rFonts w:hint="eastAsia" w:ascii="宋体" w:hAnsi="宋体" w:cs="宋体"/>
          <w:b/>
          <w:bCs/>
          <w:kern w:val="0"/>
          <w:sz w:val="24"/>
        </w:rPr>
      </w:pPr>
    </w:p>
    <w:p w14:paraId="076C5AFF">
      <w:pPr>
        <w:spacing w:line="360" w:lineRule="auto"/>
        <w:jc w:val="left"/>
        <w:rPr>
          <w:rFonts w:hint="eastAsia" w:ascii="宋体" w:hAnsi="宋体" w:cs="宋体"/>
          <w:b/>
          <w:bCs/>
          <w:kern w:val="0"/>
          <w:sz w:val="24"/>
        </w:rPr>
      </w:pPr>
    </w:p>
    <w:p w14:paraId="62EBA7CD">
      <w:pPr>
        <w:snapToGrid w:val="0"/>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廉政承诺书</w:t>
      </w:r>
    </w:p>
    <w:p w14:paraId="05914209">
      <w:pPr>
        <w:snapToGrid w:val="0"/>
        <w:jc w:val="center"/>
        <w:rPr>
          <w:rFonts w:hint="eastAsia" w:ascii="仿宋" w:hAnsi="仿宋" w:eastAsia="仿宋" w:cs="仿宋"/>
          <w:b/>
          <w:sz w:val="36"/>
          <w:szCs w:val="36"/>
        </w:rPr>
      </w:pPr>
    </w:p>
    <w:p w14:paraId="309F0F97">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发包方：天津市管道工程集团有限公司第八分工司</w:t>
      </w:r>
    </w:p>
    <w:p w14:paraId="6125CFCC">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公司</w:t>
      </w:r>
    </w:p>
    <w:p w14:paraId="02A1AAF1">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我方根据已收到的</w:t>
      </w:r>
      <w:r>
        <w:rPr>
          <w:rFonts w:hint="eastAsia" w:ascii="仿宋_GB2312" w:hAnsi="仿宋_GB2312" w:eastAsia="仿宋_GB2312" w:cs="仿宋_GB2312"/>
          <w:sz w:val="32"/>
          <w:szCs w:val="32"/>
          <w:u w:val="single"/>
        </w:rPr>
        <w:t xml:space="preserve">     （项目名称）     </w:t>
      </w:r>
      <w:r>
        <w:rPr>
          <w:rFonts w:hint="eastAsia" w:ascii="仿宋_GB2312" w:hAnsi="仿宋_GB2312" w:eastAsia="仿宋_GB2312" w:cs="仿宋_GB2312"/>
          <w:sz w:val="32"/>
          <w:szCs w:val="32"/>
        </w:rPr>
        <w:t>的采购文件，为加强投标廉政建设，经研究决定就以下内容分别做出承诺：</w:t>
      </w:r>
    </w:p>
    <w:p w14:paraId="0F278D43">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1、应严格遵守国家关于招标采购的有关法律、法规，相关政策，以及廉政建设的各项规定。</w:t>
      </w:r>
    </w:p>
    <w:p w14:paraId="7B62EF2C">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严格执行采购采购合同文件，自觉按合同办事。</w:t>
      </w:r>
    </w:p>
    <w:p w14:paraId="1D7E65CB">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3、各项活动必须坚持公开、公平、公正、诚信、透明的原则（除法律法规另有规定者外），不得为获取不正当的利益，损害国家、集体和对方利益，不得违反招标采购管理的规章制度。</w:t>
      </w:r>
    </w:p>
    <w:p w14:paraId="1513EB80">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4、发现对方在业务活动中有违规、违纪、违法行为的，应及时提醒对方，情节严重的，应向其上级主管部门或纪检监察、司法等有关机关举报。</w:t>
      </w:r>
    </w:p>
    <w:p w14:paraId="383E3D4E">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5、应与发包方保持正常的业务交往，按照有关法律法规和程序开展业务工作，严格执行招标采购的有关方针、政策，执行工程建设强制性标准。</w:t>
      </w:r>
    </w:p>
    <w:p w14:paraId="46C2AED4">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6、不得以任何理由向发包方及其工作人员赠送礼金、有价证券、贵重物品及回扣、好处费、感谢费等。</w:t>
      </w:r>
    </w:p>
    <w:p w14:paraId="35B9DE85">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7、不得以任何理由为发包方和相关单位报销应由对方或个人支付的费用。</w:t>
      </w:r>
    </w:p>
    <w:p w14:paraId="369A768C">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8、不得接受或暗示为发包方、相关单位或个人装修住房、婚丧嫁娶、配偶子女的工作安排以及出国（境）、旅游等提供方便。</w:t>
      </w:r>
    </w:p>
    <w:p w14:paraId="5EC2B7B8">
      <w:pPr>
        <w:snapToGrid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9、不得以任何理由为发包方、相关单位或个人组织有可能影响公正执行公务的宴请、健身、娱乐等活动。</w:t>
      </w:r>
    </w:p>
    <w:p w14:paraId="6F0EE608">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10、禁止报价方间串通投标，影响公平竞争，损害发包方或者其他报价方的合法权益。</w:t>
      </w:r>
    </w:p>
    <w:p w14:paraId="299BB918">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报价方应公平竞争，维护市场秩序。报价方间的下列行为应受禁止：</w:t>
      </w:r>
    </w:p>
    <w:p w14:paraId="56188EAE">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（1）报价方之间协商投标报价等报价文件的实质性内容；</w:t>
      </w:r>
    </w:p>
    <w:p w14:paraId="07269590">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（2）报价方之间约定中标人；</w:t>
      </w:r>
    </w:p>
    <w:p w14:paraId="6E445B73">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（3）报价方之间约定部分报价方放弃报价或者中标；</w:t>
      </w:r>
    </w:p>
    <w:p w14:paraId="4F753613">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（4）属于同一集团、协会、商会等组织成员的报价方按照该组织要求协同投标；</w:t>
      </w:r>
    </w:p>
    <w:p w14:paraId="5EA854F0">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（5）报价方之间为谋取中标或者排斥特定报价方而采取的其他联合行动；</w:t>
      </w:r>
    </w:p>
    <w:p w14:paraId="7ACF5373">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（6）不同报价方的报价文件由同一单位或者个人编制；</w:t>
      </w:r>
    </w:p>
    <w:p w14:paraId="7EC161ED">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（7）不同报价方委托同一单位或者个人办理投标事宜；</w:t>
      </w:r>
    </w:p>
    <w:p w14:paraId="5BD6CABD">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（8）不同报价方的报价文件载明的项目管理成员为同一人；</w:t>
      </w:r>
    </w:p>
    <w:p w14:paraId="5A2CA86C">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（9）不同报价方的报价文件异常一致或者报价呈规律性差异；</w:t>
      </w:r>
    </w:p>
    <w:p w14:paraId="7E46296C">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（10）不同报价方的报价文件相互混装；</w:t>
      </w:r>
    </w:p>
    <w:p w14:paraId="64B00D8B">
      <w:pPr>
        <w:snapToGrid w:val="0"/>
        <w:ind w:firstLine="640" w:firstLineChars="200"/>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（11）不同报价方的报价保证金从同一单位或者个人的账户转出。</w:t>
      </w:r>
    </w:p>
    <w:p w14:paraId="51046A55">
      <w:pPr>
        <w:snapToGrid w:val="0"/>
        <w:rPr>
          <w:rFonts w:hint="eastAsia" w:ascii="仿宋_GB2312" w:hAnsi="仿宋_GB2312" w:eastAsia="仿宋_GB2312" w:cs="仿宋_GB2312"/>
          <w:sz w:val="32"/>
          <w:szCs w:val="32"/>
        </w:rPr>
      </w:pPr>
    </w:p>
    <w:p w14:paraId="31701ABE">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报价人：（公章）</w:t>
      </w:r>
    </w:p>
    <w:p w14:paraId="34BEB906">
      <w:pPr>
        <w:ind w:left="5280" w:hanging="5280" w:hangingChars="1650"/>
        <w:jc w:val="lef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法定地址：</w:t>
      </w:r>
    </w:p>
    <w:p w14:paraId="13CCF865">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法定代表人或其</w:t>
      </w:r>
    </w:p>
    <w:p w14:paraId="3961ECAB">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委托代理人：（签字）</w:t>
      </w:r>
    </w:p>
    <w:p w14:paraId="7CC13BE0">
      <w:pPr>
        <w:jc w:val="left"/>
        <w:rPr>
          <w:rFonts w:hint="eastAsia" w:ascii="仿宋_GB2312" w:hAnsi="仿宋_GB2312" w:eastAsia="仿宋_GB2312" w:cs="仿宋_GB2312"/>
          <w:sz w:val="32"/>
          <w:szCs w:val="32"/>
        </w:rPr>
      </w:pPr>
    </w:p>
    <w:p w14:paraId="1C2305D3">
      <w:pPr>
        <w:jc w:val="left"/>
        <w:rPr>
          <w:rFonts w:hint="eastAsia" w:ascii="仿宋_GB2312" w:hAnsi="仿宋_GB2312" w:eastAsia="仿宋_GB2312" w:cs="仿宋_GB2312"/>
          <w:sz w:val="32"/>
          <w:szCs w:val="32"/>
        </w:rPr>
      </w:pPr>
    </w:p>
    <w:p w14:paraId="06A33677">
      <w:pPr>
        <w:jc w:val="left"/>
        <w:rPr>
          <w:rFonts w:hint="eastAsia" w:ascii="仿宋_GB2312" w:hAnsi="仿宋_GB2312" w:eastAsia="仿宋_GB2312" w:cs="仿宋_GB2312"/>
          <w:sz w:val="32"/>
          <w:szCs w:val="32"/>
        </w:rPr>
      </w:pPr>
    </w:p>
    <w:p w14:paraId="3E6D194B">
      <w:pPr>
        <w:jc w:val="left"/>
        <w:rPr>
          <w:rFonts w:hint="eastAsia" w:ascii="仿宋_GB2312" w:hAnsi="仿宋_GB2312" w:eastAsia="仿宋_GB2312" w:cs="仿宋_GB2312"/>
          <w:sz w:val="32"/>
          <w:szCs w:val="32"/>
        </w:rPr>
      </w:pPr>
    </w:p>
    <w:p w14:paraId="7A703692">
      <w:pPr>
        <w:jc w:val="left"/>
        <w:rPr>
          <w:rFonts w:hint="eastAsia" w:ascii="仿宋_GB2312" w:hAnsi="仿宋_GB2312" w:eastAsia="仿宋_GB2312" w:cs="仿宋_GB2312"/>
          <w:sz w:val="32"/>
          <w:szCs w:val="32"/>
        </w:rPr>
      </w:pPr>
    </w:p>
    <w:p w14:paraId="3DEA878F">
      <w:pPr>
        <w:jc w:val="left"/>
        <w:rPr>
          <w:rFonts w:hint="eastAsia" w:ascii="仿宋_GB2312" w:hAnsi="仿宋_GB2312" w:eastAsia="仿宋_GB2312" w:cs="仿宋_GB2312"/>
          <w:sz w:val="32"/>
          <w:szCs w:val="32"/>
        </w:rPr>
      </w:pPr>
    </w:p>
    <w:p w14:paraId="695F50FD">
      <w:pPr>
        <w:rPr>
          <w:rFonts w:hint="eastAsia" w:asciiTheme="minorEastAsia" w:hAnsiTheme="minorEastAsia" w:eastAsiaTheme="minorEastAsia" w:cstheme="minorEastAsia"/>
        </w:rPr>
      </w:pPr>
    </w:p>
    <w:p w14:paraId="08B2E42A">
      <w:pPr>
        <w:spacing w:line="360" w:lineRule="auto"/>
        <w:jc w:val="left"/>
        <w:rPr>
          <w:rFonts w:hint="eastAsia" w:ascii="宋体" w:hAnsi="宋体" w:cs="宋体"/>
          <w:b/>
          <w:bCs/>
          <w:kern w:val="0"/>
          <w:sz w:val="24"/>
        </w:rPr>
      </w:pPr>
    </w:p>
    <w:p w14:paraId="51E7C219">
      <w:pPr>
        <w:spacing w:line="360" w:lineRule="auto"/>
        <w:jc w:val="left"/>
        <w:rPr>
          <w:rFonts w:hint="eastAsia" w:ascii="宋体" w:hAnsi="宋体" w:cs="宋体"/>
          <w:b/>
          <w:bCs/>
          <w:kern w:val="0"/>
          <w:sz w:val="24"/>
        </w:rPr>
      </w:pPr>
    </w:p>
    <w:p w14:paraId="430E24AE">
      <w:pPr>
        <w:spacing w:line="360" w:lineRule="auto"/>
        <w:jc w:val="left"/>
        <w:rPr>
          <w:rFonts w:hint="eastAsia" w:ascii="宋体" w:hAnsi="宋体" w:cs="宋体"/>
          <w:b/>
          <w:bCs/>
          <w:kern w:val="0"/>
          <w:sz w:val="24"/>
        </w:rPr>
      </w:pPr>
    </w:p>
    <w:p w14:paraId="10A1FAC2">
      <w:pPr>
        <w:spacing w:line="360" w:lineRule="auto"/>
        <w:jc w:val="left"/>
        <w:rPr>
          <w:rFonts w:hint="eastAsia" w:ascii="宋体" w:hAnsi="宋体" w:cs="宋体"/>
          <w:b/>
          <w:bCs/>
          <w:kern w:val="0"/>
          <w:sz w:val="24"/>
        </w:rPr>
      </w:pPr>
    </w:p>
    <w:p w14:paraId="311DAC42">
      <w:pPr>
        <w:spacing w:line="360" w:lineRule="auto"/>
        <w:jc w:val="left"/>
        <w:rPr>
          <w:rFonts w:hint="eastAsia" w:ascii="宋体" w:hAnsi="宋体" w:cs="宋体"/>
          <w:b/>
          <w:bCs/>
          <w:kern w:val="0"/>
          <w:sz w:val="24"/>
        </w:rPr>
      </w:pPr>
    </w:p>
    <w:p w14:paraId="5A663A44">
      <w:pPr>
        <w:spacing w:line="360" w:lineRule="auto"/>
        <w:jc w:val="left"/>
        <w:rPr>
          <w:rFonts w:hint="eastAsia" w:ascii="宋体" w:hAnsi="宋体" w:cs="宋体"/>
          <w:b/>
          <w:bCs/>
          <w:kern w:val="0"/>
          <w:sz w:val="24"/>
        </w:rPr>
      </w:pPr>
    </w:p>
    <w:p w14:paraId="1ED617D3">
      <w:pPr>
        <w:spacing w:line="360" w:lineRule="auto"/>
        <w:jc w:val="left"/>
        <w:rPr>
          <w:rFonts w:hint="eastAsia" w:ascii="宋体" w:hAnsi="宋体" w:cs="宋体"/>
          <w:b/>
          <w:bCs/>
          <w:kern w:val="0"/>
          <w:sz w:val="24"/>
        </w:rPr>
      </w:pPr>
    </w:p>
    <w:p w14:paraId="165CBA51">
      <w:pPr>
        <w:spacing w:line="360" w:lineRule="auto"/>
        <w:jc w:val="left"/>
        <w:rPr>
          <w:rFonts w:hint="eastAsia" w:ascii="宋体" w:hAnsi="宋体" w:cs="宋体"/>
          <w:b/>
          <w:bCs/>
          <w:kern w:val="0"/>
          <w:sz w:val="24"/>
        </w:rPr>
      </w:pPr>
    </w:p>
    <w:p w14:paraId="7E6485E5">
      <w:pPr>
        <w:spacing w:line="360" w:lineRule="auto"/>
        <w:jc w:val="left"/>
        <w:rPr>
          <w:rFonts w:hint="eastAsia" w:ascii="宋体" w:hAnsi="宋体" w:cs="宋体"/>
          <w:b/>
          <w:bCs/>
          <w:kern w:val="0"/>
          <w:sz w:val="24"/>
        </w:rPr>
      </w:pPr>
    </w:p>
    <w:p w14:paraId="7171A58A">
      <w:pPr>
        <w:spacing w:line="360" w:lineRule="auto"/>
        <w:jc w:val="left"/>
        <w:rPr>
          <w:rFonts w:hint="eastAsia" w:ascii="宋体" w:hAnsi="宋体" w:cs="宋体"/>
          <w:b/>
          <w:bCs/>
          <w:kern w:val="0"/>
          <w:sz w:val="24"/>
        </w:rPr>
      </w:pPr>
    </w:p>
    <w:p w14:paraId="2FE88902">
      <w:pPr>
        <w:spacing w:line="360" w:lineRule="auto"/>
        <w:jc w:val="left"/>
        <w:rPr>
          <w:rFonts w:hint="eastAsia" w:ascii="宋体" w:hAnsi="宋体" w:cs="宋体"/>
          <w:b/>
          <w:bCs/>
          <w:kern w:val="0"/>
          <w:sz w:val="24"/>
        </w:rPr>
      </w:pPr>
    </w:p>
    <w:p w14:paraId="06DCDE88">
      <w:pPr>
        <w:spacing w:line="360" w:lineRule="auto"/>
        <w:jc w:val="left"/>
        <w:rPr>
          <w:rFonts w:hint="eastAsia" w:ascii="宋体" w:hAnsi="宋体" w:cs="宋体"/>
          <w:b/>
          <w:bCs/>
          <w:kern w:val="0"/>
          <w:sz w:val="24"/>
        </w:rPr>
      </w:pPr>
    </w:p>
    <w:p w14:paraId="6251C1D9">
      <w:pPr>
        <w:spacing w:line="360" w:lineRule="auto"/>
        <w:jc w:val="center"/>
        <w:rPr>
          <w:rFonts w:hint="eastAsia" w:ascii="宋体" w:hAnsi="宋体" w:cs="宋体"/>
          <w:b/>
          <w:bCs/>
          <w:kern w:val="0"/>
          <w:sz w:val="24"/>
        </w:rPr>
      </w:pPr>
      <w:r>
        <w:rPr>
          <w:rFonts w:hint="eastAsia" w:ascii="宋体" w:hAnsi="宋体" w:cs="宋体"/>
          <w:b/>
          <w:bCs/>
          <w:kern w:val="0"/>
          <w:sz w:val="24"/>
        </w:rPr>
        <w:t>5.其他需要提供的资料</w:t>
      </w:r>
    </w:p>
    <w:p w14:paraId="758695BE">
      <w:pPr>
        <w:rPr>
          <w:rFonts w:hint="eastAsia" w:ascii="宋体" w:hAnsi="宋体" w:cs="宋体"/>
          <w:sz w:val="24"/>
        </w:rPr>
      </w:pPr>
      <w:r>
        <w:rPr>
          <w:rFonts w:hint="eastAsia" w:ascii="宋体" w:hAnsi="宋体" w:cs="宋体"/>
          <w:sz w:val="24"/>
        </w:rPr>
        <w:br w:type="page"/>
      </w:r>
    </w:p>
    <w:p w14:paraId="472B9A27">
      <w:pPr>
        <w:numPr>
          <w:ilvl w:val="0"/>
          <w:numId w:val="9"/>
        </w:numPr>
        <w:spacing w:line="460" w:lineRule="exact"/>
        <w:ind w:firstLine="2711" w:firstLineChars="900"/>
        <w:rPr>
          <w:rFonts w:hint="eastAsia" w:ascii="宋体" w:hAnsi="宋体" w:cs="宋体"/>
          <w:b/>
          <w:bCs/>
          <w:sz w:val="30"/>
          <w:szCs w:val="30"/>
        </w:rPr>
      </w:pPr>
      <w:r>
        <w:rPr>
          <w:rFonts w:hint="eastAsia" w:ascii="宋体" w:hAnsi="宋体" w:cs="宋体"/>
          <w:b/>
          <w:bCs/>
          <w:sz w:val="30"/>
          <w:szCs w:val="30"/>
        </w:rPr>
        <w:t xml:space="preserve">  技术文件</w:t>
      </w:r>
    </w:p>
    <w:p w14:paraId="6EC59505">
      <w:pPr>
        <w:spacing w:line="560" w:lineRule="exact"/>
        <w:ind w:left="480" w:firstLine="2891" w:firstLineChars="1200"/>
        <w:rPr>
          <w:rFonts w:hint="eastAsia" w:ascii="宋体" w:hAnsi="宋体" w:cs="宋体"/>
          <w:b/>
          <w:sz w:val="24"/>
        </w:rPr>
      </w:pPr>
      <w:r>
        <w:rPr>
          <w:rFonts w:hint="eastAsia" w:ascii="宋体" w:hAnsi="宋体" w:cs="宋体"/>
          <w:b/>
          <w:sz w:val="24"/>
        </w:rPr>
        <w:t>1.服务方案</w:t>
      </w:r>
    </w:p>
    <w:p w14:paraId="2CF2CC44">
      <w:pPr>
        <w:spacing w:line="560" w:lineRule="exact"/>
        <w:rPr>
          <w:rFonts w:hint="eastAsia" w:ascii="宋体" w:hAnsi="宋体" w:cs="宋体"/>
          <w:b/>
          <w:sz w:val="24"/>
        </w:rPr>
      </w:pPr>
    </w:p>
    <w:p w14:paraId="79931275">
      <w:pPr>
        <w:spacing w:line="560" w:lineRule="exact"/>
        <w:rPr>
          <w:rFonts w:hint="eastAsia" w:ascii="宋体" w:hAnsi="宋体" w:cs="宋体"/>
          <w:b/>
          <w:sz w:val="24"/>
        </w:rPr>
      </w:pPr>
      <w:r>
        <w:rPr>
          <w:rFonts w:hint="eastAsia" w:ascii="宋体" w:hAnsi="宋体" w:cs="宋体"/>
          <w:b/>
          <w:sz w:val="24"/>
        </w:rPr>
        <w:t>（由投标人自行编制）</w:t>
      </w:r>
    </w:p>
    <w:p w14:paraId="1A3816D4">
      <w:pPr>
        <w:autoSpaceDE w:val="0"/>
        <w:autoSpaceDN w:val="0"/>
        <w:adjustRightInd w:val="0"/>
        <w:spacing w:line="560" w:lineRule="exact"/>
        <w:ind w:firstLine="420" w:firstLineChars="200"/>
        <w:jc w:val="left"/>
        <w:rPr>
          <w:rFonts w:hint="eastAsia" w:ascii="宋体" w:hAnsi="宋体" w:cs="宋体"/>
          <w:kern w:val="0"/>
          <w:szCs w:val="21"/>
        </w:rPr>
      </w:pPr>
    </w:p>
    <w:p w14:paraId="74D09476">
      <w:pPr>
        <w:autoSpaceDE w:val="0"/>
        <w:autoSpaceDN w:val="0"/>
        <w:adjustRightInd w:val="0"/>
        <w:spacing w:line="560" w:lineRule="exact"/>
        <w:ind w:firstLine="420" w:firstLineChars="200"/>
        <w:jc w:val="left"/>
        <w:rPr>
          <w:rFonts w:hint="eastAsia" w:ascii="宋体" w:hAnsi="宋体" w:cs="宋体"/>
          <w:kern w:val="0"/>
          <w:szCs w:val="21"/>
        </w:rPr>
      </w:pPr>
    </w:p>
    <w:p w14:paraId="00DC5DB8">
      <w:pPr>
        <w:autoSpaceDE w:val="0"/>
        <w:autoSpaceDN w:val="0"/>
        <w:adjustRightInd w:val="0"/>
        <w:spacing w:line="560" w:lineRule="exact"/>
        <w:ind w:firstLine="420" w:firstLineChars="200"/>
        <w:jc w:val="left"/>
        <w:rPr>
          <w:rFonts w:hint="eastAsia" w:ascii="宋体" w:hAnsi="宋体" w:cs="宋体"/>
          <w:kern w:val="0"/>
          <w:szCs w:val="21"/>
        </w:rPr>
      </w:pPr>
    </w:p>
    <w:p w14:paraId="21041039">
      <w:pPr>
        <w:autoSpaceDE w:val="0"/>
        <w:autoSpaceDN w:val="0"/>
        <w:adjustRightInd w:val="0"/>
        <w:spacing w:line="560" w:lineRule="exact"/>
        <w:ind w:firstLine="420" w:firstLineChars="200"/>
        <w:jc w:val="left"/>
        <w:rPr>
          <w:rFonts w:hint="eastAsia" w:ascii="宋体" w:hAnsi="宋体" w:cs="宋体"/>
          <w:kern w:val="0"/>
          <w:szCs w:val="21"/>
        </w:rPr>
      </w:pPr>
    </w:p>
    <w:p w14:paraId="33EF0CE9">
      <w:pPr>
        <w:autoSpaceDE w:val="0"/>
        <w:autoSpaceDN w:val="0"/>
        <w:adjustRightInd w:val="0"/>
        <w:spacing w:line="560" w:lineRule="exact"/>
        <w:ind w:firstLine="420" w:firstLineChars="200"/>
        <w:jc w:val="left"/>
        <w:rPr>
          <w:rFonts w:hint="eastAsia" w:ascii="宋体" w:hAnsi="宋体" w:cs="宋体"/>
          <w:kern w:val="0"/>
          <w:szCs w:val="21"/>
        </w:rPr>
      </w:pPr>
    </w:p>
    <w:p w14:paraId="74CF2071">
      <w:pPr>
        <w:autoSpaceDE w:val="0"/>
        <w:autoSpaceDN w:val="0"/>
        <w:adjustRightInd w:val="0"/>
        <w:spacing w:line="560" w:lineRule="exact"/>
        <w:ind w:firstLine="420" w:firstLineChars="200"/>
        <w:jc w:val="left"/>
        <w:rPr>
          <w:rFonts w:hint="eastAsia" w:ascii="宋体" w:hAnsi="宋体" w:cs="宋体"/>
          <w:kern w:val="0"/>
          <w:szCs w:val="21"/>
        </w:rPr>
      </w:pPr>
    </w:p>
    <w:p w14:paraId="491C96C8">
      <w:pPr>
        <w:autoSpaceDE w:val="0"/>
        <w:autoSpaceDN w:val="0"/>
        <w:adjustRightInd w:val="0"/>
        <w:spacing w:line="560" w:lineRule="exact"/>
        <w:ind w:firstLine="420" w:firstLineChars="200"/>
        <w:jc w:val="left"/>
        <w:rPr>
          <w:rFonts w:hint="eastAsia" w:ascii="宋体" w:hAnsi="宋体" w:cs="宋体"/>
          <w:kern w:val="0"/>
          <w:szCs w:val="21"/>
        </w:rPr>
      </w:pPr>
    </w:p>
    <w:p w14:paraId="68D16553">
      <w:pPr>
        <w:autoSpaceDE w:val="0"/>
        <w:autoSpaceDN w:val="0"/>
        <w:adjustRightInd w:val="0"/>
        <w:spacing w:line="560" w:lineRule="exact"/>
        <w:ind w:firstLine="420" w:firstLineChars="200"/>
        <w:jc w:val="left"/>
        <w:rPr>
          <w:rFonts w:hint="eastAsia" w:ascii="宋体" w:hAnsi="宋体" w:cs="宋体"/>
          <w:kern w:val="0"/>
          <w:szCs w:val="21"/>
        </w:rPr>
      </w:pPr>
    </w:p>
    <w:p w14:paraId="442905DB">
      <w:pPr>
        <w:autoSpaceDE w:val="0"/>
        <w:autoSpaceDN w:val="0"/>
        <w:adjustRightInd w:val="0"/>
        <w:spacing w:line="560" w:lineRule="exact"/>
        <w:ind w:firstLine="420" w:firstLineChars="200"/>
        <w:jc w:val="left"/>
        <w:rPr>
          <w:rFonts w:hint="eastAsia" w:ascii="宋体" w:hAnsi="宋体" w:cs="宋体"/>
          <w:kern w:val="0"/>
          <w:szCs w:val="21"/>
        </w:rPr>
      </w:pPr>
    </w:p>
    <w:p w14:paraId="74D28131">
      <w:pPr>
        <w:spacing w:line="560" w:lineRule="exact"/>
        <w:rPr>
          <w:rFonts w:hint="eastAsia" w:ascii="宋体" w:hAnsi="宋体" w:cs="宋体"/>
          <w:b/>
          <w:sz w:val="24"/>
        </w:rPr>
      </w:pPr>
      <w:r>
        <w:rPr>
          <w:rFonts w:hint="eastAsia" w:ascii="宋体" w:hAnsi="宋体" w:cs="宋体"/>
          <w:b/>
          <w:sz w:val="24"/>
        </w:rPr>
        <w:t>注：本部分内容请依照本标书第二部分 招标项目要求中“评分因素及评标标准”的得分项逐一应答，以便于评审专家审查与评分（要求应答顺序与得分标准相符，如因应答条理不清所造成的不良后果由投标人自行负责）。</w:t>
      </w:r>
    </w:p>
    <w:p w14:paraId="4AB31E73">
      <w:pPr>
        <w:autoSpaceDE w:val="0"/>
        <w:autoSpaceDN w:val="0"/>
        <w:adjustRightInd w:val="0"/>
        <w:spacing w:line="560" w:lineRule="exact"/>
        <w:jc w:val="left"/>
        <w:rPr>
          <w:rFonts w:hint="eastAsia" w:ascii="宋体" w:hAnsi="宋体" w:cs="宋体"/>
          <w:kern w:val="0"/>
          <w:sz w:val="24"/>
        </w:rPr>
      </w:pPr>
    </w:p>
    <w:p w14:paraId="54A4001C">
      <w:pPr>
        <w:spacing w:line="360" w:lineRule="auto"/>
        <w:ind w:left="192"/>
        <w:rPr>
          <w:rFonts w:hint="eastAsia" w:ascii="宋体" w:hAnsi="宋体" w:cs="宋体"/>
          <w:sz w:val="24"/>
        </w:rPr>
      </w:pPr>
      <w:r>
        <w:rPr>
          <w:rFonts w:hint="eastAsia" w:ascii="宋体" w:hAnsi="宋体" w:cs="宋体"/>
          <w:sz w:val="24"/>
        </w:rPr>
        <w:t>投标人名称（公章）：_________________________</w:t>
      </w:r>
    </w:p>
    <w:p w14:paraId="32A52650">
      <w:pPr>
        <w:spacing w:line="360" w:lineRule="auto"/>
        <w:ind w:left="192"/>
        <w:rPr>
          <w:rFonts w:hint="eastAsia" w:ascii="宋体" w:hAnsi="宋体" w:cs="宋体"/>
          <w:sz w:val="24"/>
        </w:rPr>
      </w:pPr>
      <w:r>
        <w:rPr>
          <w:rFonts w:hint="eastAsia" w:ascii="宋体" w:hAnsi="宋体" w:cs="宋体"/>
          <w:sz w:val="24"/>
        </w:rPr>
        <w:t>投标人代表签字：_______________</w:t>
      </w:r>
    </w:p>
    <w:p w14:paraId="04BB935F">
      <w:pPr>
        <w:autoSpaceDE w:val="0"/>
        <w:autoSpaceDN w:val="0"/>
        <w:adjustRightInd w:val="0"/>
        <w:spacing w:line="560" w:lineRule="exact"/>
        <w:ind w:firstLine="240" w:firstLineChars="100"/>
        <w:jc w:val="left"/>
        <w:rPr>
          <w:rFonts w:hint="eastAsia" w:ascii="宋体" w:hAnsi="宋体" w:cs="宋体"/>
          <w:kern w:val="0"/>
          <w:sz w:val="24"/>
          <w:u w:val="single"/>
        </w:rPr>
      </w:pPr>
      <w:r>
        <w:rPr>
          <w:rFonts w:hint="eastAsia" w:ascii="宋体" w:hAnsi="宋体" w:cs="宋体"/>
          <w:sz w:val="24"/>
        </w:rPr>
        <w:t>职务：_________日期：__________</w:t>
      </w:r>
    </w:p>
    <w:p w14:paraId="2B1161DB">
      <w:pPr>
        <w:spacing w:line="460" w:lineRule="exact"/>
        <w:ind w:left="192"/>
        <w:rPr>
          <w:rFonts w:hint="eastAsia" w:ascii="宋体" w:hAnsi="宋体" w:cs="宋体"/>
          <w:sz w:val="24"/>
        </w:rPr>
      </w:pPr>
      <w:r>
        <w:rPr>
          <w:rFonts w:hint="eastAsia" w:ascii="宋体" w:hAnsi="宋体" w:cs="宋体"/>
          <w:b/>
          <w:sz w:val="24"/>
        </w:rPr>
        <w:br w:type="page"/>
      </w:r>
    </w:p>
    <w:p w14:paraId="54E3C6D4">
      <w:pPr>
        <w:spacing w:line="460" w:lineRule="exact"/>
        <w:ind w:left="192"/>
        <w:rPr>
          <w:rFonts w:hint="eastAsia" w:ascii="宋体" w:hAnsi="宋体" w:cs="宋体"/>
          <w:sz w:val="24"/>
        </w:rPr>
      </w:pPr>
    </w:p>
    <w:p w14:paraId="414F9CAA">
      <w:pPr>
        <w:pStyle w:val="15"/>
        <w:rPr>
          <w:rFonts w:hint="eastAsia" w:ascii="宋体" w:hAnsi="宋体" w:eastAsia="宋体" w:cs="宋体"/>
        </w:rPr>
      </w:pPr>
    </w:p>
    <w:p w14:paraId="263A03F2">
      <w:pPr>
        <w:spacing w:line="460" w:lineRule="exact"/>
        <w:ind w:left="181"/>
        <w:jc w:val="center"/>
        <w:rPr>
          <w:rFonts w:hint="eastAsia" w:ascii="宋体" w:hAnsi="宋体" w:cs="宋体"/>
          <w:b/>
          <w:sz w:val="28"/>
          <w:szCs w:val="28"/>
        </w:rPr>
      </w:pPr>
      <w:r>
        <w:rPr>
          <w:rFonts w:hint="eastAsia" w:ascii="宋体" w:hAnsi="宋体" w:cs="宋体"/>
          <w:b/>
          <w:sz w:val="28"/>
          <w:szCs w:val="28"/>
        </w:rPr>
        <w:t xml:space="preserve">2. </w:t>
      </w:r>
      <w:r>
        <w:rPr>
          <w:rFonts w:hint="eastAsia" w:ascii="宋体" w:hAnsi="宋体" w:cs="宋体"/>
          <w:b/>
          <w:sz w:val="28"/>
          <w:szCs w:val="28"/>
          <w:lang w:val="zh-CN"/>
        </w:rPr>
        <w:t>项目经理</w:t>
      </w:r>
      <w:r>
        <w:rPr>
          <w:rFonts w:hint="eastAsia" w:ascii="宋体" w:hAnsi="宋体" w:cs="宋体"/>
          <w:b/>
          <w:sz w:val="28"/>
          <w:szCs w:val="28"/>
        </w:rPr>
        <w:t>简历表</w:t>
      </w:r>
    </w:p>
    <w:tbl>
      <w:tblPr>
        <w:tblStyle w:val="40"/>
        <w:tblW w:w="9072" w:type="dxa"/>
        <w:tblInd w:w="108" w:type="dxa"/>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2"/>
        <w:gridCol w:w="1208"/>
        <w:gridCol w:w="1440"/>
        <w:gridCol w:w="540"/>
        <w:gridCol w:w="720"/>
        <w:gridCol w:w="1080"/>
        <w:gridCol w:w="360"/>
        <w:gridCol w:w="1992"/>
      </w:tblGrid>
      <w:tr w14:paraId="1FE5F364">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1732" w:type="dxa"/>
            <w:tcBorders>
              <w:top w:val="single" w:color="auto" w:sz="4" w:space="0"/>
              <w:left w:val="single" w:color="auto" w:sz="4" w:space="0"/>
              <w:bottom w:val="single" w:color="auto" w:sz="4" w:space="0"/>
              <w:right w:val="single" w:color="auto" w:sz="4" w:space="0"/>
            </w:tcBorders>
            <w:vAlign w:val="center"/>
          </w:tcPr>
          <w:p w14:paraId="1AB61AC1">
            <w:pPr>
              <w:pStyle w:val="91"/>
              <w:widowControl w:val="0"/>
              <w:autoSpaceDE w:val="0"/>
              <w:autoSpaceDN w:val="0"/>
              <w:spacing w:line="400" w:lineRule="exact"/>
              <w:jc w:val="center"/>
              <w:textAlignment w:val="bottom"/>
              <w:rPr>
                <w:rFonts w:cs="宋体"/>
                <w:kern w:val="2"/>
              </w:rPr>
            </w:pPr>
            <w:r>
              <w:rPr>
                <w:rFonts w:cs="宋体"/>
                <w:kern w:val="2"/>
              </w:rPr>
              <w:t>姓名</w:t>
            </w:r>
          </w:p>
        </w:tc>
        <w:tc>
          <w:tcPr>
            <w:tcW w:w="1208" w:type="dxa"/>
            <w:tcBorders>
              <w:top w:val="single" w:color="auto" w:sz="4" w:space="0"/>
              <w:left w:val="single" w:color="auto" w:sz="4" w:space="0"/>
              <w:bottom w:val="single" w:color="auto" w:sz="4" w:space="0"/>
              <w:right w:val="single" w:color="auto" w:sz="4" w:space="0"/>
            </w:tcBorders>
            <w:vAlign w:val="center"/>
          </w:tcPr>
          <w:p w14:paraId="572D2EA9">
            <w:pPr>
              <w:pStyle w:val="91"/>
              <w:widowControl w:val="0"/>
              <w:autoSpaceDE w:val="0"/>
              <w:autoSpaceDN w:val="0"/>
              <w:spacing w:line="400" w:lineRule="exact"/>
              <w:ind w:firstLine="420"/>
              <w:jc w:val="both"/>
              <w:textAlignment w:val="bottom"/>
              <w:rPr>
                <w:rFonts w:cs="宋体"/>
                <w:kern w:val="2"/>
              </w:rPr>
            </w:pPr>
          </w:p>
        </w:tc>
        <w:tc>
          <w:tcPr>
            <w:tcW w:w="1440" w:type="dxa"/>
            <w:tcBorders>
              <w:top w:val="single" w:color="auto" w:sz="4" w:space="0"/>
              <w:left w:val="single" w:color="auto" w:sz="4" w:space="0"/>
              <w:bottom w:val="single" w:color="auto" w:sz="4" w:space="0"/>
              <w:right w:val="single" w:color="auto" w:sz="4" w:space="0"/>
            </w:tcBorders>
            <w:vAlign w:val="center"/>
          </w:tcPr>
          <w:p w14:paraId="7B63ED58">
            <w:pPr>
              <w:pStyle w:val="91"/>
              <w:widowControl w:val="0"/>
              <w:autoSpaceDE w:val="0"/>
              <w:autoSpaceDN w:val="0"/>
              <w:spacing w:line="400" w:lineRule="exact"/>
              <w:ind w:firstLine="420"/>
              <w:jc w:val="both"/>
              <w:textAlignment w:val="bottom"/>
              <w:rPr>
                <w:rFonts w:cs="宋体"/>
                <w:kern w:val="2"/>
              </w:rPr>
            </w:pPr>
            <w:r>
              <w:rPr>
                <w:rFonts w:cs="宋体"/>
                <w:kern w:val="2"/>
              </w:rPr>
              <w:t>年龄</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3955503">
            <w:pPr>
              <w:pStyle w:val="91"/>
              <w:widowControl w:val="0"/>
              <w:autoSpaceDE w:val="0"/>
              <w:autoSpaceDN w:val="0"/>
              <w:spacing w:line="400" w:lineRule="exact"/>
              <w:ind w:firstLine="420"/>
              <w:jc w:val="both"/>
              <w:textAlignment w:val="bottom"/>
              <w:rPr>
                <w:rFonts w:cs="宋体"/>
                <w:kern w:val="2"/>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14:paraId="52EB1A4C">
            <w:pPr>
              <w:pStyle w:val="91"/>
              <w:widowControl w:val="0"/>
              <w:autoSpaceDE w:val="0"/>
              <w:autoSpaceDN w:val="0"/>
              <w:spacing w:line="400" w:lineRule="exact"/>
              <w:jc w:val="center"/>
              <w:textAlignment w:val="bottom"/>
              <w:rPr>
                <w:rFonts w:cs="宋体"/>
                <w:kern w:val="2"/>
              </w:rPr>
            </w:pPr>
            <w:r>
              <w:rPr>
                <w:rFonts w:cs="宋体"/>
                <w:kern w:val="2"/>
              </w:rPr>
              <w:t>专业</w:t>
            </w:r>
          </w:p>
        </w:tc>
        <w:tc>
          <w:tcPr>
            <w:tcW w:w="1992" w:type="dxa"/>
            <w:tcBorders>
              <w:top w:val="single" w:color="auto" w:sz="4" w:space="0"/>
              <w:left w:val="single" w:color="auto" w:sz="4" w:space="0"/>
              <w:bottom w:val="single" w:color="auto" w:sz="4" w:space="0"/>
              <w:right w:val="single" w:color="auto" w:sz="4" w:space="0"/>
            </w:tcBorders>
            <w:vAlign w:val="center"/>
          </w:tcPr>
          <w:p w14:paraId="205CB705">
            <w:pPr>
              <w:pStyle w:val="91"/>
              <w:widowControl w:val="0"/>
              <w:autoSpaceDE w:val="0"/>
              <w:autoSpaceDN w:val="0"/>
              <w:spacing w:line="400" w:lineRule="exact"/>
              <w:ind w:firstLine="420"/>
              <w:jc w:val="both"/>
              <w:textAlignment w:val="bottom"/>
              <w:rPr>
                <w:rFonts w:cs="宋体"/>
                <w:kern w:val="2"/>
              </w:rPr>
            </w:pPr>
          </w:p>
        </w:tc>
      </w:tr>
      <w:tr w14:paraId="04FFCD68">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732" w:type="dxa"/>
            <w:tcBorders>
              <w:top w:val="single" w:color="auto" w:sz="4" w:space="0"/>
              <w:left w:val="single" w:color="auto" w:sz="4" w:space="0"/>
              <w:bottom w:val="single" w:color="auto" w:sz="4" w:space="0"/>
              <w:right w:val="single" w:color="auto" w:sz="4" w:space="0"/>
            </w:tcBorders>
            <w:vAlign w:val="center"/>
          </w:tcPr>
          <w:p w14:paraId="53B6FC1F">
            <w:pPr>
              <w:pStyle w:val="91"/>
              <w:widowControl w:val="0"/>
              <w:autoSpaceDE w:val="0"/>
              <w:autoSpaceDN w:val="0"/>
              <w:spacing w:line="400" w:lineRule="exact"/>
              <w:jc w:val="center"/>
              <w:textAlignment w:val="bottom"/>
              <w:rPr>
                <w:rFonts w:cs="宋体"/>
                <w:kern w:val="2"/>
              </w:rPr>
            </w:pPr>
            <w:r>
              <w:rPr>
                <w:rFonts w:cs="宋体"/>
                <w:kern w:val="2"/>
              </w:rPr>
              <w:t>职称</w:t>
            </w:r>
          </w:p>
        </w:tc>
        <w:tc>
          <w:tcPr>
            <w:tcW w:w="1208" w:type="dxa"/>
            <w:tcBorders>
              <w:top w:val="single" w:color="auto" w:sz="4" w:space="0"/>
              <w:left w:val="single" w:color="auto" w:sz="4" w:space="0"/>
              <w:bottom w:val="single" w:color="auto" w:sz="4" w:space="0"/>
              <w:right w:val="single" w:color="auto" w:sz="4" w:space="0"/>
            </w:tcBorders>
            <w:vAlign w:val="center"/>
          </w:tcPr>
          <w:p w14:paraId="2DF32554">
            <w:pPr>
              <w:pStyle w:val="91"/>
              <w:widowControl w:val="0"/>
              <w:autoSpaceDE w:val="0"/>
              <w:autoSpaceDN w:val="0"/>
              <w:spacing w:line="400" w:lineRule="exact"/>
              <w:ind w:firstLine="420"/>
              <w:jc w:val="both"/>
              <w:textAlignment w:val="bottom"/>
              <w:rPr>
                <w:rFonts w:cs="宋体"/>
                <w:kern w:val="2"/>
              </w:rPr>
            </w:pPr>
          </w:p>
        </w:tc>
        <w:tc>
          <w:tcPr>
            <w:tcW w:w="1440" w:type="dxa"/>
            <w:tcBorders>
              <w:top w:val="single" w:color="auto" w:sz="4" w:space="0"/>
              <w:left w:val="single" w:color="auto" w:sz="4" w:space="0"/>
              <w:bottom w:val="single" w:color="auto" w:sz="4" w:space="0"/>
              <w:right w:val="single" w:color="auto" w:sz="4" w:space="0"/>
            </w:tcBorders>
            <w:vAlign w:val="center"/>
          </w:tcPr>
          <w:p w14:paraId="63EBC8DA">
            <w:pPr>
              <w:pStyle w:val="91"/>
              <w:widowControl w:val="0"/>
              <w:autoSpaceDE w:val="0"/>
              <w:autoSpaceDN w:val="0"/>
              <w:spacing w:line="400" w:lineRule="exact"/>
              <w:ind w:firstLine="420"/>
              <w:jc w:val="both"/>
              <w:textAlignment w:val="bottom"/>
              <w:rPr>
                <w:rFonts w:cs="宋体"/>
                <w:kern w:val="2"/>
              </w:rPr>
            </w:pPr>
            <w:r>
              <w:rPr>
                <w:rFonts w:cs="宋体"/>
                <w:kern w:val="2"/>
              </w:rPr>
              <w:t>职务</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7853C05">
            <w:pPr>
              <w:pStyle w:val="91"/>
              <w:widowControl w:val="0"/>
              <w:autoSpaceDE w:val="0"/>
              <w:autoSpaceDN w:val="0"/>
              <w:spacing w:line="400" w:lineRule="exact"/>
              <w:ind w:firstLine="420"/>
              <w:jc w:val="both"/>
              <w:textAlignment w:val="bottom"/>
              <w:rPr>
                <w:rFonts w:cs="宋体"/>
                <w:kern w:val="2"/>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14:paraId="7D5C6A13">
            <w:pPr>
              <w:pStyle w:val="91"/>
              <w:widowControl w:val="0"/>
              <w:autoSpaceDE w:val="0"/>
              <w:autoSpaceDN w:val="0"/>
              <w:spacing w:line="400" w:lineRule="exact"/>
              <w:jc w:val="center"/>
              <w:textAlignment w:val="bottom"/>
              <w:rPr>
                <w:rFonts w:cs="宋体"/>
                <w:kern w:val="2"/>
              </w:rPr>
            </w:pPr>
            <w:r>
              <w:rPr>
                <w:rFonts w:cs="宋体"/>
                <w:kern w:val="2"/>
              </w:rPr>
              <w:t>拟在本合同工程担任职务</w:t>
            </w:r>
          </w:p>
        </w:tc>
        <w:tc>
          <w:tcPr>
            <w:tcW w:w="1992" w:type="dxa"/>
            <w:tcBorders>
              <w:top w:val="single" w:color="auto" w:sz="4" w:space="0"/>
              <w:left w:val="single" w:color="auto" w:sz="4" w:space="0"/>
              <w:bottom w:val="single" w:color="auto" w:sz="4" w:space="0"/>
              <w:right w:val="single" w:color="auto" w:sz="4" w:space="0"/>
            </w:tcBorders>
            <w:vAlign w:val="center"/>
          </w:tcPr>
          <w:p w14:paraId="5D5E4812">
            <w:pPr>
              <w:pStyle w:val="91"/>
              <w:widowControl w:val="0"/>
              <w:autoSpaceDE w:val="0"/>
              <w:autoSpaceDN w:val="0"/>
              <w:spacing w:line="400" w:lineRule="exact"/>
              <w:jc w:val="both"/>
              <w:textAlignment w:val="bottom"/>
              <w:rPr>
                <w:rFonts w:cs="宋体"/>
                <w:kern w:val="2"/>
              </w:rPr>
            </w:pPr>
          </w:p>
        </w:tc>
      </w:tr>
      <w:tr w14:paraId="399B2D38">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32" w:type="dxa"/>
            <w:tcBorders>
              <w:top w:val="single" w:color="auto" w:sz="4" w:space="0"/>
              <w:left w:val="single" w:color="auto" w:sz="4" w:space="0"/>
              <w:bottom w:val="single" w:color="auto" w:sz="4" w:space="0"/>
              <w:right w:val="single" w:color="auto" w:sz="4" w:space="0"/>
            </w:tcBorders>
            <w:vAlign w:val="center"/>
          </w:tcPr>
          <w:p w14:paraId="6477D3B7">
            <w:pPr>
              <w:pStyle w:val="91"/>
              <w:widowControl w:val="0"/>
              <w:autoSpaceDE w:val="0"/>
              <w:autoSpaceDN w:val="0"/>
              <w:spacing w:line="400" w:lineRule="exact"/>
              <w:jc w:val="both"/>
              <w:textAlignment w:val="bottom"/>
              <w:rPr>
                <w:rFonts w:cs="宋体"/>
                <w:kern w:val="2"/>
              </w:rPr>
            </w:pPr>
            <w:r>
              <w:rPr>
                <w:rFonts w:cs="宋体"/>
                <w:kern w:val="2"/>
              </w:rPr>
              <w:t>毕业学校</w:t>
            </w:r>
          </w:p>
        </w:tc>
        <w:tc>
          <w:tcPr>
            <w:tcW w:w="7340" w:type="dxa"/>
            <w:gridSpan w:val="7"/>
            <w:tcBorders>
              <w:top w:val="single" w:color="auto" w:sz="4" w:space="0"/>
              <w:left w:val="single" w:color="auto" w:sz="4" w:space="0"/>
              <w:bottom w:val="single" w:color="auto" w:sz="4" w:space="0"/>
              <w:right w:val="single" w:color="auto" w:sz="4" w:space="0"/>
            </w:tcBorders>
            <w:vAlign w:val="center"/>
          </w:tcPr>
          <w:p w14:paraId="6401F183">
            <w:pPr>
              <w:pStyle w:val="91"/>
              <w:widowControl w:val="0"/>
              <w:autoSpaceDE w:val="0"/>
              <w:autoSpaceDN w:val="0"/>
              <w:spacing w:line="400" w:lineRule="exact"/>
              <w:jc w:val="both"/>
              <w:textAlignment w:val="bottom"/>
              <w:rPr>
                <w:rFonts w:cs="宋体"/>
                <w:kern w:val="2"/>
              </w:rPr>
            </w:pPr>
            <w:r>
              <w:rPr>
                <w:rFonts w:cs="宋体"/>
                <w:kern w:val="2"/>
              </w:rPr>
              <w:t xml:space="preserve">   </w:t>
            </w:r>
            <w:r>
              <w:rPr>
                <w:rFonts w:cs="宋体"/>
                <w:kern w:val="2"/>
                <w:u w:val="single"/>
              </w:rPr>
              <w:t xml:space="preserve">    </w:t>
            </w:r>
            <w:r>
              <w:rPr>
                <w:rFonts w:cs="宋体"/>
                <w:kern w:val="2"/>
              </w:rPr>
              <w:t>年</w:t>
            </w:r>
            <w:r>
              <w:rPr>
                <w:rFonts w:cs="宋体"/>
                <w:kern w:val="2"/>
                <w:u w:val="single"/>
              </w:rPr>
              <w:t xml:space="preserve">   </w:t>
            </w:r>
            <w:r>
              <w:rPr>
                <w:rFonts w:cs="宋体"/>
                <w:kern w:val="2"/>
              </w:rPr>
              <w:t>月毕业于</w:t>
            </w:r>
            <w:r>
              <w:rPr>
                <w:rFonts w:cs="宋体"/>
                <w:kern w:val="2"/>
                <w:u w:val="single"/>
              </w:rPr>
              <w:t xml:space="preserve">      </w:t>
            </w:r>
            <w:r>
              <w:rPr>
                <w:rFonts w:cs="宋体"/>
                <w:kern w:val="2"/>
              </w:rPr>
              <w:t>学校</w:t>
            </w:r>
            <w:r>
              <w:rPr>
                <w:rFonts w:cs="宋体"/>
                <w:kern w:val="2"/>
                <w:u w:val="single"/>
              </w:rPr>
              <w:t xml:space="preserve">     </w:t>
            </w:r>
            <w:r>
              <w:rPr>
                <w:rFonts w:cs="宋体"/>
                <w:kern w:val="2"/>
              </w:rPr>
              <w:t>系（科），学制</w:t>
            </w:r>
            <w:r>
              <w:rPr>
                <w:rFonts w:cs="宋体"/>
                <w:kern w:val="2"/>
                <w:u w:val="single"/>
              </w:rPr>
              <w:t xml:space="preserve">   </w:t>
            </w:r>
            <w:r>
              <w:rPr>
                <w:rFonts w:cs="宋体"/>
                <w:kern w:val="2"/>
              </w:rPr>
              <w:t>年</w:t>
            </w:r>
          </w:p>
        </w:tc>
      </w:tr>
      <w:tr w14:paraId="76E6798E">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9072" w:type="dxa"/>
            <w:gridSpan w:val="8"/>
            <w:tcBorders>
              <w:top w:val="single" w:color="auto" w:sz="4" w:space="0"/>
              <w:left w:val="single" w:color="auto" w:sz="4" w:space="0"/>
              <w:bottom w:val="single" w:color="auto" w:sz="4" w:space="0"/>
              <w:right w:val="single" w:color="auto" w:sz="4" w:space="0"/>
            </w:tcBorders>
            <w:vAlign w:val="center"/>
          </w:tcPr>
          <w:p w14:paraId="11229623">
            <w:pPr>
              <w:pStyle w:val="91"/>
              <w:widowControl w:val="0"/>
              <w:autoSpaceDE w:val="0"/>
              <w:autoSpaceDN w:val="0"/>
              <w:spacing w:line="400" w:lineRule="exact"/>
              <w:jc w:val="center"/>
              <w:textAlignment w:val="bottom"/>
              <w:rPr>
                <w:rFonts w:cs="宋体"/>
                <w:kern w:val="2"/>
              </w:rPr>
            </w:pPr>
            <w:r>
              <w:rPr>
                <w:rFonts w:cs="宋体"/>
                <w:kern w:val="2"/>
              </w:rPr>
              <w:t>经                   历</w:t>
            </w:r>
          </w:p>
        </w:tc>
      </w:tr>
      <w:tr w14:paraId="3E11422C">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76" w:hRule="atLeast"/>
        </w:trPr>
        <w:tc>
          <w:tcPr>
            <w:tcW w:w="1732" w:type="dxa"/>
            <w:tcBorders>
              <w:top w:val="single" w:color="auto" w:sz="4" w:space="0"/>
              <w:left w:val="single" w:color="auto" w:sz="4" w:space="0"/>
              <w:bottom w:val="single" w:color="auto" w:sz="4" w:space="0"/>
              <w:right w:val="single" w:color="auto" w:sz="4" w:space="0"/>
            </w:tcBorders>
            <w:vAlign w:val="center"/>
          </w:tcPr>
          <w:p w14:paraId="02D22950">
            <w:pPr>
              <w:pStyle w:val="91"/>
              <w:widowControl w:val="0"/>
              <w:autoSpaceDE w:val="0"/>
              <w:autoSpaceDN w:val="0"/>
              <w:spacing w:line="400" w:lineRule="exact"/>
              <w:ind w:firstLine="240"/>
              <w:jc w:val="center"/>
              <w:textAlignment w:val="bottom"/>
              <w:rPr>
                <w:rFonts w:cs="宋体"/>
                <w:kern w:val="2"/>
              </w:rPr>
            </w:pPr>
            <w:r>
              <w:rPr>
                <w:rFonts w:cs="宋体"/>
                <w:kern w:val="2"/>
              </w:rPr>
              <w:t>年～  年</w:t>
            </w:r>
          </w:p>
        </w:tc>
        <w:tc>
          <w:tcPr>
            <w:tcW w:w="3188" w:type="dxa"/>
            <w:gridSpan w:val="3"/>
            <w:tcBorders>
              <w:top w:val="single" w:color="auto" w:sz="4" w:space="0"/>
              <w:left w:val="single" w:color="auto" w:sz="4" w:space="0"/>
              <w:bottom w:val="single" w:color="auto" w:sz="4" w:space="0"/>
              <w:right w:val="single" w:color="auto" w:sz="4" w:space="0"/>
            </w:tcBorders>
            <w:vAlign w:val="center"/>
          </w:tcPr>
          <w:p w14:paraId="538784C1">
            <w:pPr>
              <w:pStyle w:val="91"/>
              <w:widowControl w:val="0"/>
              <w:autoSpaceDE w:val="0"/>
              <w:autoSpaceDN w:val="0"/>
              <w:spacing w:line="400" w:lineRule="exact"/>
              <w:jc w:val="center"/>
              <w:textAlignment w:val="bottom"/>
              <w:rPr>
                <w:rFonts w:cs="宋体"/>
                <w:kern w:val="2"/>
              </w:rPr>
            </w:pPr>
            <w:r>
              <w:rPr>
                <w:rFonts w:cs="宋体"/>
                <w:kern w:val="2"/>
              </w:rPr>
              <w:t>参加过的工程项目名称</w:t>
            </w: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10FCBDC7">
            <w:pPr>
              <w:pStyle w:val="91"/>
              <w:widowControl w:val="0"/>
              <w:autoSpaceDE w:val="0"/>
              <w:autoSpaceDN w:val="0"/>
              <w:spacing w:line="400" w:lineRule="exact"/>
              <w:jc w:val="center"/>
              <w:textAlignment w:val="bottom"/>
              <w:rPr>
                <w:rFonts w:cs="宋体"/>
                <w:kern w:val="2"/>
              </w:rPr>
            </w:pPr>
            <w:r>
              <w:rPr>
                <w:rFonts w:cs="宋体"/>
                <w:kern w:val="2"/>
              </w:rPr>
              <w:t>担任何职</w:t>
            </w:r>
          </w:p>
        </w:tc>
        <w:tc>
          <w:tcPr>
            <w:tcW w:w="2352" w:type="dxa"/>
            <w:gridSpan w:val="2"/>
            <w:tcBorders>
              <w:top w:val="single" w:color="auto" w:sz="4" w:space="0"/>
              <w:left w:val="single" w:color="auto" w:sz="4" w:space="0"/>
              <w:bottom w:val="single" w:color="auto" w:sz="4" w:space="0"/>
              <w:right w:val="single" w:color="auto" w:sz="4" w:space="0"/>
            </w:tcBorders>
            <w:vAlign w:val="center"/>
          </w:tcPr>
          <w:p w14:paraId="4B0947B8">
            <w:pPr>
              <w:pStyle w:val="91"/>
              <w:widowControl w:val="0"/>
              <w:autoSpaceDE w:val="0"/>
              <w:autoSpaceDN w:val="0"/>
              <w:spacing w:line="400" w:lineRule="exact"/>
              <w:jc w:val="center"/>
              <w:textAlignment w:val="bottom"/>
              <w:rPr>
                <w:rFonts w:cs="宋体"/>
                <w:kern w:val="2"/>
              </w:rPr>
            </w:pPr>
            <w:r>
              <w:rPr>
                <w:rFonts w:cs="宋体"/>
                <w:kern w:val="2"/>
              </w:rPr>
              <w:t>备   注</w:t>
            </w:r>
          </w:p>
        </w:tc>
      </w:tr>
      <w:tr w14:paraId="580F9CEB">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rPr>
        <w:tc>
          <w:tcPr>
            <w:tcW w:w="1732" w:type="dxa"/>
            <w:tcBorders>
              <w:top w:val="single" w:color="auto" w:sz="4" w:space="0"/>
              <w:left w:val="single" w:color="auto" w:sz="4" w:space="0"/>
              <w:bottom w:val="single" w:color="auto" w:sz="4" w:space="0"/>
              <w:right w:val="single" w:color="auto" w:sz="4" w:space="0"/>
            </w:tcBorders>
            <w:vAlign w:val="center"/>
          </w:tcPr>
          <w:p w14:paraId="37247424">
            <w:pPr>
              <w:pStyle w:val="91"/>
              <w:widowControl w:val="0"/>
              <w:autoSpaceDE w:val="0"/>
              <w:autoSpaceDN w:val="0"/>
              <w:spacing w:line="400" w:lineRule="exact"/>
              <w:jc w:val="both"/>
              <w:textAlignment w:val="bottom"/>
              <w:rPr>
                <w:rFonts w:cs="宋体"/>
                <w:kern w:val="2"/>
              </w:rPr>
            </w:pPr>
          </w:p>
        </w:tc>
        <w:tc>
          <w:tcPr>
            <w:tcW w:w="3188" w:type="dxa"/>
            <w:gridSpan w:val="3"/>
            <w:tcBorders>
              <w:top w:val="single" w:color="auto" w:sz="4" w:space="0"/>
              <w:left w:val="single" w:color="auto" w:sz="4" w:space="0"/>
              <w:bottom w:val="single" w:color="auto" w:sz="4" w:space="0"/>
              <w:right w:val="single" w:color="auto" w:sz="4" w:space="0"/>
            </w:tcBorders>
            <w:textDirection w:val="tbRlV"/>
            <w:vAlign w:val="center"/>
          </w:tcPr>
          <w:p w14:paraId="0C8860F9">
            <w:pPr>
              <w:pStyle w:val="91"/>
              <w:widowControl w:val="0"/>
              <w:autoSpaceDE w:val="0"/>
              <w:autoSpaceDN w:val="0"/>
              <w:spacing w:line="400" w:lineRule="exact"/>
              <w:ind w:left="113" w:right="113"/>
              <w:jc w:val="both"/>
              <w:textAlignment w:val="bottom"/>
              <w:rPr>
                <w:rFonts w:cs="宋体"/>
                <w:kern w:val="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66FCE667">
            <w:pPr>
              <w:pStyle w:val="91"/>
              <w:widowControl w:val="0"/>
              <w:autoSpaceDE w:val="0"/>
              <w:autoSpaceDN w:val="0"/>
              <w:spacing w:line="400" w:lineRule="exact"/>
              <w:jc w:val="both"/>
              <w:textAlignment w:val="bottom"/>
              <w:rPr>
                <w:rFonts w:cs="宋体"/>
                <w:kern w:val="2"/>
              </w:rPr>
            </w:pPr>
          </w:p>
        </w:tc>
        <w:tc>
          <w:tcPr>
            <w:tcW w:w="2352" w:type="dxa"/>
            <w:gridSpan w:val="2"/>
            <w:tcBorders>
              <w:top w:val="single" w:color="auto" w:sz="4" w:space="0"/>
              <w:left w:val="single" w:color="auto" w:sz="4" w:space="0"/>
              <w:bottom w:val="single" w:color="auto" w:sz="4" w:space="0"/>
              <w:right w:val="single" w:color="auto" w:sz="4" w:space="0"/>
            </w:tcBorders>
            <w:vAlign w:val="center"/>
          </w:tcPr>
          <w:p w14:paraId="0F1FF53B">
            <w:pPr>
              <w:pStyle w:val="91"/>
              <w:widowControl w:val="0"/>
              <w:autoSpaceDE w:val="0"/>
              <w:autoSpaceDN w:val="0"/>
              <w:spacing w:line="400" w:lineRule="exact"/>
              <w:jc w:val="both"/>
              <w:textAlignment w:val="bottom"/>
              <w:rPr>
                <w:rFonts w:cs="宋体"/>
                <w:kern w:val="2"/>
              </w:rPr>
            </w:pPr>
          </w:p>
        </w:tc>
      </w:tr>
      <w:tr w14:paraId="428AEB79">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70" w:hRule="atLeast"/>
        </w:trPr>
        <w:tc>
          <w:tcPr>
            <w:tcW w:w="1732" w:type="dxa"/>
            <w:tcBorders>
              <w:top w:val="single" w:color="auto" w:sz="4" w:space="0"/>
              <w:left w:val="single" w:color="auto" w:sz="4" w:space="0"/>
              <w:bottom w:val="single" w:color="auto" w:sz="4" w:space="0"/>
              <w:right w:val="single" w:color="auto" w:sz="4" w:space="0"/>
            </w:tcBorders>
            <w:vAlign w:val="center"/>
          </w:tcPr>
          <w:p w14:paraId="6A03BDF5">
            <w:pPr>
              <w:pStyle w:val="91"/>
              <w:widowControl w:val="0"/>
              <w:autoSpaceDE w:val="0"/>
              <w:autoSpaceDN w:val="0"/>
              <w:spacing w:line="400" w:lineRule="exact"/>
              <w:jc w:val="both"/>
              <w:textAlignment w:val="bottom"/>
              <w:rPr>
                <w:rFonts w:cs="宋体"/>
                <w:kern w:val="2"/>
              </w:rPr>
            </w:pPr>
          </w:p>
        </w:tc>
        <w:tc>
          <w:tcPr>
            <w:tcW w:w="3188" w:type="dxa"/>
            <w:gridSpan w:val="3"/>
            <w:tcBorders>
              <w:top w:val="single" w:color="auto" w:sz="4" w:space="0"/>
              <w:left w:val="single" w:color="auto" w:sz="4" w:space="0"/>
              <w:bottom w:val="single" w:color="auto" w:sz="4" w:space="0"/>
              <w:right w:val="single" w:color="auto" w:sz="4" w:space="0"/>
            </w:tcBorders>
            <w:textDirection w:val="tbRlV"/>
            <w:vAlign w:val="center"/>
          </w:tcPr>
          <w:p w14:paraId="2C9B50FF">
            <w:pPr>
              <w:pStyle w:val="91"/>
              <w:widowControl w:val="0"/>
              <w:autoSpaceDE w:val="0"/>
              <w:autoSpaceDN w:val="0"/>
              <w:spacing w:line="400" w:lineRule="exact"/>
              <w:ind w:left="113" w:right="113"/>
              <w:jc w:val="both"/>
              <w:textAlignment w:val="bottom"/>
              <w:rPr>
                <w:rFonts w:cs="宋体"/>
                <w:kern w:val="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5D7F1D2D">
            <w:pPr>
              <w:pStyle w:val="91"/>
              <w:widowControl w:val="0"/>
              <w:autoSpaceDE w:val="0"/>
              <w:autoSpaceDN w:val="0"/>
              <w:spacing w:line="400" w:lineRule="exact"/>
              <w:jc w:val="both"/>
              <w:textAlignment w:val="bottom"/>
              <w:rPr>
                <w:rFonts w:cs="宋体"/>
                <w:kern w:val="2"/>
              </w:rPr>
            </w:pPr>
          </w:p>
        </w:tc>
        <w:tc>
          <w:tcPr>
            <w:tcW w:w="2352" w:type="dxa"/>
            <w:gridSpan w:val="2"/>
            <w:tcBorders>
              <w:top w:val="single" w:color="auto" w:sz="4" w:space="0"/>
              <w:left w:val="single" w:color="auto" w:sz="4" w:space="0"/>
              <w:bottom w:val="single" w:color="auto" w:sz="4" w:space="0"/>
              <w:right w:val="single" w:color="auto" w:sz="4" w:space="0"/>
            </w:tcBorders>
            <w:vAlign w:val="center"/>
          </w:tcPr>
          <w:p w14:paraId="708F3FAE">
            <w:pPr>
              <w:pStyle w:val="91"/>
              <w:widowControl w:val="0"/>
              <w:autoSpaceDE w:val="0"/>
              <w:autoSpaceDN w:val="0"/>
              <w:spacing w:line="400" w:lineRule="exact"/>
              <w:jc w:val="both"/>
              <w:textAlignment w:val="bottom"/>
              <w:rPr>
                <w:rFonts w:cs="宋体"/>
                <w:kern w:val="2"/>
              </w:rPr>
            </w:pPr>
          </w:p>
        </w:tc>
      </w:tr>
      <w:tr w14:paraId="27529C2B">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1" w:hRule="atLeast"/>
        </w:trPr>
        <w:tc>
          <w:tcPr>
            <w:tcW w:w="1732" w:type="dxa"/>
            <w:tcBorders>
              <w:top w:val="single" w:color="auto" w:sz="4" w:space="0"/>
              <w:left w:val="single" w:color="auto" w:sz="4" w:space="0"/>
              <w:bottom w:val="single" w:color="auto" w:sz="4" w:space="0"/>
              <w:right w:val="single" w:color="auto" w:sz="4" w:space="0"/>
            </w:tcBorders>
            <w:vAlign w:val="center"/>
          </w:tcPr>
          <w:p w14:paraId="66786522">
            <w:pPr>
              <w:pStyle w:val="91"/>
              <w:widowControl w:val="0"/>
              <w:autoSpaceDE w:val="0"/>
              <w:autoSpaceDN w:val="0"/>
              <w:spacing w:line="400" w:lineRule="exact"/>
              <w:jc w:val="both"/>
              <w:textAlignment w:val="bottom"/>
              <w:rPr>
                <w:rFonts w:cs="宋体"/>
                <w:kern w:val="2"/>
              </w:rPr>
            </w:pPr>
          </w:p>
        </w:tc>
        <w:tc>
          <w:tcPr>
            <w:tcW w:w="3188" w:type="dxa"/>
            <w:gridSpan w:val="3"/>
            <w:tcBorders>
              <w:top w:val="single" w:color="auto" w:sz="4" w:space="0"/>
              <w:left w:val="single" w:color="auto" w:sz="4" w:space="0"/>
              <w:bottom w:val="single" w:color="auto" w:sz="4" w:space="0"/>
              <w:right w:val="single" w:color="auto" w:sz="4" w:space="0"/>
            </w:tcBorders>
            <w:textDirection w:val="tbRlV"/>
            <w:vAlign w:val="center"/>
          </w:tcPr>
          <w:p w14:paraId="33CCC3EF">
            <w:pPr>
              <w:pStyle w:val="91"/>
              <w:widowControl w:val="0"/>
              <w:autoSpaceDE w:val="0"/>
              <w:autoSpaceDN w:val="0"/>
              <w:spacing w:line="400" w:lineRule="exact"/>
              <w:ind w:left="113" w:right="113"/>
              <w:jc w:val="both"/>
              <w:textAlignment w:val="bottom"/>
              <w:rPr>
                <w:rFonts w:cs="宋体"/>
                <w:kern w:val="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518587F5">
            <w:pPr>
              <w:pStyle w:val="91"/>
              <w:widowControl w:val="0"/>
              <w:autoSpaceDE w:val="0"/>
              <w:autoSpaceDN w:val="0"/>
              <w:spacing w:line="400" w:lineRule="exact"/>
              <w:jc w:val="both"/>
              <w:textAlignment w:val="bottom"/>
              <w:rPr>
                <w:rFonts w:cs="宋体"/>
                <w:kern w:val="2"/>
              </w:rPr>
            </w:pPr>
          </w:p>
        </w:tc>
        <w:tc>
          <w:tcPr>
            <w:tcW w:w="2352" w:type="dxa"/>
            <w:gridSpan w:val="2"/>
            <w:tcBorders>
              <w:top w:val="single" w:color="auto" w:sz="4" w:space="0"/>
              <w:left w:val="single" w:color="auto" w:sz="4" w:space="0"/>
              <w:bottom w:val="single" w:color="auto" w:sz="4" w:space="0"/>
              <w:right w:val="single" w:color="auto" w:sz="4" w:space="0"/>
            </w:tcBorders>
            <w:vAlign w:val="center"/>
          </w:tcPr>
          <w:p w14:paraId="0ABD9D92">
            <w:pPr>
              <w:pStyle w:val="91"/>
              <w:widowControl w:val="0"/>
              <w:autoSpaceDE w:val="0"/>
              <w:autoSpaceDN w:val="0"/>
              <w:spacing w:line="400" w:lineRule="exact"/>
              <w:jc w:val="both"/>
              <w:textAlignment w:val="bottom"/>
              <w:rPr>
                <w:rFonts w:cs="宋体"/>
                <w:kern w:val="2"/>
              </w:rPr>
            </w:pPr>
          </w:p>
        </w:tc>
      </w:tr>
      <w:tr w14:paraId="1F7F1683">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6" w:hRule="atLeast"/>
        </w:trPr>
        <w:tc>
          <w:tcPr>
            <w:tcW w:w="1732" w:type="dxa"/>
            <w:tcBorders>
              <w:top w:val="single" w:color="auto" w:sz="4" w:space="0"/>
              <w:left w:val="single" w:color="auto" w:sz="4" w:space="0"/>
              <w:bottom w:val="single" w:color="auto" w:sz="4" w:space="0"/>
              <w:right w:val="single" w:color="auto" w:sz="4" w:space="0"/>
            </w:tcBorders>
            <w:vAlign w:val="center"/>
          </w:tcPr>
          <w:p w14:paraId="273DE4F4">
            <w:pPr>
              <w:pStyle w:val="91"/>
              <w:widowControl w:val="0"/>
              <w:autoSpaceDE w:val="0"/>
              <w:autoSpaceDN w:val="0"/>
              <w:spacing w:line="400" w:lineRule="exact"/>
              <w:jc w:val="both"/>
              <w:textAlignment w:val="bottom"/>
              <w:rPr>
                <w:rFonts w:cs="宋体"/>
                <w:kern w:val="2"/>
              </w:rPr>
            </w:pPr>
          </w:p>
          <w:p w14:paraId="0C853B7C">
            <w:pPr>
              <w:pStyle w:val="91"/>
              <w:widowControl w:val="0"/>
              <w:autoSpaceDE w:val="0"/>
              <w:autoSpaceDN w:val="0"/>
              <w:spacing w:line="400" w:lineRule="exact"/>
              <w:jc w:val="both"/>
              <w:textAlignment w:val="bottom"/>
              <w:rPr>
                <w:rFonts w:cs="宋体"/>
                <w:kern w:val="2"/>
              </w:rPr>
            </w:pPr>
          </w:p>
          <w:p w14:paraId="6E47CB87">
            <w:pPr>
              <w:pStyle w:val="91"/>
              <w:widowControl w:val="0"/>
              <w:autoSpaceDE w:val="0"/>
              <w:autoSpaceDN w:val="0"/>
              <w:spacing w:line="400" w:lineRule="exact"/>
              <w:jc w:val="both"/>
              <w:textAlignment w:val="bottom"/>
              <w:rPr>
                <w:rFonts w:cs="宋体"/>
                <w:kern w:val="2"/>
              </w:rPr>
            </w:pPr>
          </w:p>
        </w:tc>
        <w:tc>
          <w:tcPr>
            <w:tcW w:w="3188" w:type="dxa"/>
            <w:gridSpan w:val="3"/>
            <w:tcBorders>
              <w:top w:val="single" w:color="auto" w:sz="4" w:space="0"/>
              <w:left w:val="single" w:color="auto" w:sz="4" w:space="0"/>
              <w:bottom w:val="single" w:color="auto" w:sz="4" w:space="0"/>
              <w:right w:val="single" w:color="auto" w:sz="4" w:space="0"/>
            </w:tcBorders>
            <w:textDirection w:val="tbRlV"/>
            <w:vAlign w:val="center"/>
          </w:tcPr>
          <w:p w14:paraId="5357DED2">
            <w:pPr>
              <w:pStyle w:val="91"/>
              <w:widowControl w:val="0"/>
              <w:autoSpaceDE w:val="0"/>
              <w:autoSpaceDN w:val="0"/>
              <w:spacing w:line="400" w:lineRule="exact"/>
              <w:ind w:left="113" w:right="113"/>
              <w:jc w:val="both"/>
              <w:textAlignment w:val="bottom"/>
              <w:rPr>
                <w:rFonts w:cs="宋体"/>
                <w:kern w:val="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6D0C03F7">
            <w:pPr>
              <w:pStyle w:val="91"/>
              <w:widowControl w:val="0"/>
              <w:autoSpaceDE w:val="0"/>
              <w:autoSpaceDN w:val="0"/>
              <w:spacing w:line="400" w:lineRule="exact"/>
              <w:jc w:val="both"/>
              <w:textAlignment w:val="bottom"/>
              <w:rPr>
                <w:rFonts w:cs="宋体"/>
                <w:kern w:val="2"/>
              </w:rPr>
            </w:pPr>
          </w:p>
        </w:tc>
        <w:tc>
          <w:tcPr>
            <w:tcW w:w="2352" w:type="dxa"/>
            <w:gridSpan w:val="2"/>
            <w:tcBorders>
              <w:top w:val="single" w:color="auto" w:sz="4" w:space="0"/>
              <w:left w:val="single" w:color="auto" w:sz="4" w:space="0"/>
              <w:bottom w:val="single" w:color="auto" w:sz="4" w:space="0"/>
              <w:right w:val="single" w:color="auto" w:sz="4" w:space="0"/>
            </w:tcBorders>
            <w:vAlign w:val="center"/>
          </w:tcPr>
          <w:p w14:paraId="0101073B">
            <w:pPr>
              <w:pStyle w:val="91"/>
              <w:widowControl w:val="0"/>
              <w:autoSpaceDE w:val="0"/>
              <w:autoSpaceDN w:val="0"/>
              <w:spacing w:line="400" w:lineRule="exact"/>
              <w:jc w:val="both"/>
              <w:textAlignment w:val="bottom"/>
              <w:rPr>
                <w:rFonts w:cs="宋体"/>
                <w:kern w:val="2"/>
              </w:rPr>
            </w:pPr>
          </w:p>
        </w:tc>
      </w:tr>
      <w:tr w14:paraId="1C0FBD09">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8" w:hRule="atLeast"/>
        </w:trPr>
        <w:tc>
          <w:tcPr>
            <w:tcW w:w="1732" w:type="dxa"/>
            <w:tcBorders>
              <w:top w:val="single" w:color="auto" w:sz="4" w:space="0"/>
              <w:left w:val="single" w:color="auto" w:sz="4" w:space="0"/>
              <w:bottom w:val="single" w:color="auto" w:sz="4" w:space="0"/>
              <w:right w:val="single" w:color="auto" w:sz="4" w:space="0"/>
            </w:tcBorders>
            <w:vAlign w:val="center"/>
          </w:tcPr>
          <w:p w14:paraId="698F5C48">
            <w:pPr>
              <w:pStyle w:val="91"/>
              <w:widowControl w:val="0"/>
              <w:autoSpaceDE w:val="0"/>
              <w:autoSpaceDN w:val="0"/>
              <w:spacing w:line="400" w:lineRule="exact"/>
              <w:jc w:val="both"/>
              <w:textAlignment w:val="bottom"/>
              <w:rPr>
                <w:rFonts w:cs="宋体"/>
                <w:kern w:val="2"/>
              </w:rPr>
            </w:pPr>
          </w:p>
        </w:tc>
        <w:tc>
          <w:tcPr>
            <w:tcW w:w="3188" w:type="dxa"/>
            <w:gridSpan w:val="3"/>
            <w:tcBorders>
              <w:top w:val="single" w:color="auto" w:sz="4" w:space="0"/>
              <w:left w:val="single" w:color="auto" w:sz="4" w:space="0"/>
              <w:bottom w:val="single" w:color="auto" w:sz="4" w:space="0"/>
              <w:right w:val="single" w:color="auto" w:sz="4" w:space="0"/>
            </w:tcBorders>
            <w:textDirection w:val="tbRlV"/>
            <w:vAlign w:val="center"/>
          </w:tcPr>
          <w:p w14:paraId="3BD42071">
            <w:pPr>
              <w:pStyle w:val="91"/>
              <w:widowControl w:val="0"/>
              <w:autoSpaceDE w:val="0"/>
              <w:autoSpaceDN w:val="0"/>
              <w:spacing w:line="400" w:lineRule="exact"/>
              <w:ind w:left="113" w:right="113"/>
              <w:jc w:val="both"/>
              <w:textAlignment w:val="bottom"/>
              <w:rPr>
                <w:rFonts w:cs="宋体"/>
                <w:kern w:val="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14:paraId="53ED6EF5">
            <w:pPr>
              <w:pStyle w:val="91"/>
              <w:widowControl w:val="0"/>
              <w:autoSpaceDE w:val="0"/>
              <w:autoSpaceDN w:val="0"/>
              <w:spacing w:line="400" w:lineRule="exact"/>
              <w:jc w:val="both"/>
              <w:textAlignment w:val="bottom"/>
              <w:rPr>
                <w:rFonts w:cs="宋体"/>
                <w:kern w:val="2"/>
              </w:rPr>
            </w:pPr>
          </w:p>
        </w:tc>
        <w:tc>
          <w:tcPr>
            <w:tcW w:w="2352" w:type="dxa"/>
            <w:gridSpan w:val="2"/>
            <w:tcBorders>
              <w:top w:val="single" w:color="auto" w:sz="4" w:space="0"/>
              <w:left w:val="single" w:color="auto" w:sz="4" w:space="0"/>
              <w:bottom w:val="single" w:color="auto" w:sz="4" w:space="0"/>
              <w:right w:val="single" w:color="auto" w:sz="4" w:space="0"/>
            </w:tcBorders>
            <w:vAlign w:val="center"/>
          </w:tcPr>
          <w:p w14:paraId="56C69A06">
            <w:pPr>
              <w:pStyle w:val="91"/>
              <w:widowControl w:val="0"/>
              <w:autoSpaceDE w:val="0"/>
              <w:autoSpaceDN w:val="0"/>
              <w:spacing w:line="400" w:lineRule="exact"/>
              <w:jc w:val="both"/>
              <w:textAlignment w:val="bottom"/>
              <w:rPr>
                <w:rFonts w:cs="宋体"/>
                <w:kern w:val="2"/>
              </w:rPr>
            </w:pPr>
          </w:p>
        </w:tc>
      </w:tr>
    </w:tbl>
    <w:p w14:paraId="22D3C87B">
      <w:pPr>
        <w:pStyle w:val="91"/>
        <w:widowControl w:val="0"/>
        <w:autoSpaceDE w:val="0"/>
        <w:autoSpaceDN w:val="0"/>
        <w:spacing w:line="400" w:lineRule="exact"/>
        <w:ind w:firstLine="480"/>
        <w:textAlignment w:val="bottom"/>
        <w:rPr>
          <w:rFonts w:cs="宋体"/>
          <w:kern w:val="2"/>
        </w:rPr>
      </w:pPr>
      <w:r>
        <w:rPr>
          <w:rFonts w:cs="宋体"/>
          <w:kern w:val="2"/>
        </w:rPr>
        <w:t>说明：“主要人员”指与本项目相关的</w:t>
      </w:r>
      <w:r>
        <w:rPr>
          <w:rFonts w:cs="宋体"/>
          <w:kern w:val="2"/>
          <w:lang w:val="zh-CN"/>
        </w:rPr>
        <w:t>项目经理</w:t>
      </w:r>
      <w:r>
        <w:rPr>
          <w:rFonts w:cs="宋体"/>
          <w:kern w:val="2"/>
        </w:rPr>
        <w:t>。下列人员需填写此表，每人一张：</w:t>
      </w:r>
    </w:p>
    <w:p w14:paraId="31BED1BA">
      <w:pPr>
        <w:pStyle w:val="91"/>
        <w:widowControl w:val="0"/>
        <w:numPr>
          <w:ilvl w:val="0"/>
          <w:numId w:val="10"/>
        </w:numPr>
        <w:autoSpaceDE w:val="0"/>
        <w:autoSpaceDN w:val="0"/>
        <w:spacing w:line="400" w:lineRule="exact"/>
        <w:ind w:left="480"/>
        <w:textAlignment w:val="bottom"/>
        <w:rPr>
          <w:rFonts w:cs="宋体"/>
          <w:kern w:val="2"/>
        </w:rPr>
      </w:pPr>
      <w:r>
        <w:rPr>
          <w:rFonts w:cs="宋体"/>
          <w:kern w:val="2"/>
          <w:lang w:val="zh-CN"/>
        </w:rPr>
        <w:t>项目经理</w:t>
      </w:r>
      <w:r>
        <w:rPr>
          <w:rFonts w:cs="宋体"/>
          <w:kern w:val="2"/>
        </w:rPr>
        <w:t xml:space="preserve">；  </w:t>
      </w:r>
    </w:p>
    <w:p w14:paraId="0080AB82">
      <w:pPr>
        <w:pStyle w:val="91"/>
        <w:widowControl w:val="0"/>
        <w:numPr>
          <w:ilvl w:val="0"/>
          <w:numId w:val="10"/>
        </w:numPr>
        <w:autoSpaceDE w:val="0"/>
        <w:autoSpaceDN w:val="0"/>
        <w:spacing w:line="400" w:lineRule="exact"/>
        <w:ind w:left="480"/>
        <w:textAlignment w:val="bottom"/>
        <w:rPr>
          <w:rFonts w:cs="宋体"/>
          <w:kern w:val="2"/>
        </w:rPr>
      </w:pPr>
      <w:r>
        <w:rPr>
          <w:rFonts w:cs="宋体"/>
          <w:kern w:val="2"/>
        </w:rPr>
        <w:t>项目</w:t>
      </w:r>
      <w:r>
        <w:rPr>
          <w:rFonts w:cs="宋体"/>
          <w:kern w:val="2"/>
          <w:lang w:val="zh-CN"/>
        </w:rPr>
        <w:t>人员</w:t>
      </w:r>
      <w:r>
        <w:rPr>
          <w:rFonts w:cs="宋体"/>
          <w:kern w:val="2"/>
        </w:rPr>
        <w:t>（如有）；</w:t>
      </w:r>
    </w:p>
    <w:p w14:paraId="63405305">
      <w:pPr>
        <w:pStyle w:val="91"/>
        <w:widowControl w:val="0"/>
        <w:autoSpaceDE w:val="0"/>
        <w:autoSpaceDN w:val="0"/>
        <w:spacing w:line="400" w:lineRule="exact"/>
        <w:ind w:left="480"/>
        <w:textAlignment w:val="bottom"/>
        <w:rPr>
          <w:rFonts w:cs="宋体"/>
          <w:kern w:val="2"/>
        </w:rPr>
      </w:pPr>
    </w:p>
    <w:p w14:paraId="35BDDAE2">
      <w:pPr>
        <w:rPr>
          <w:rFonts w:hint="eastAsia" w:ascii="宋体" w:hAnsi="宋体" w:cs="宋体"/>
        </w:rPr>
      </w:pPr>
    </w:p>
    <w:p w14:paraId="4F82DCE7">
      <w:pPr>
        <w:rPr>
          <w:rFonts w:hint="eastAsia" w:ascii="宋体" w:hAnsi="宋体" w:cs="宋体"/>
        </w:rPr>
      </w:pPr>
    </w:p>
    <w:p w14:paraId="6A616AB9">
      <w:pPr>
        <w:autoSpaceDE w:val="0"/>
        <w:autoSpaceDN w:val="0"/>
        <w:adjustRightInd w:val="0"/>
        <w:jc w:val="center"/>
        <w:rPr>
          <w:rFonts w:hint="eastAsia" w:ascii="宋体" w:hAnsi="宋体" w:cs="宋体"/>
          <w:b/>
          <w:sz w:val="28"/>
          <w:szCs w:val="28"/>
        </w:rPr>
      </w:pPr>
      <w:bookmarkStart w:id="303" w:name="_Toc24442"/>
      <w:bookmarkStart w:id="304" w:name="_Toc2015"/>
      <w:bookmarkStart w:id="305" w:name="_Toc26520"/>
      <w:r>
        <w:rPr>
          <w:rFonts w:hint="eastAsia" w:ascii="宋体" w:hAnsi="宋体" w:cs="宋体"/>
          <w:b/>
          <w:sz w:val="28"/>
          <w:szCs w:val="28"/>
        </w:rPr>
        <w:br w:type="page"/>
      </w:r>
      <w:bookmarkEnd w:id="303"/>
      <w:bookmarkEnd w:id="304"/>
      <w:bookmarkEnd w:id="305"/>
      <w:r>
        <w:rPr>
          <w:rFonts w:hint="eastAsia" w:ascii="宋体" w:hAnsi="宋体" w:cs="宋体"/>
          <w:b/>
          <w:sz w:val="28"/>
          <w:szCs w:val="28"/>
        </w:rPr>
        <w:t>3. 其他需提供的相关文件</w:t>
      </w:r>
    </w:p>
    <w:p w14:paraId="36482F1F">
      <w:pPr>
        <w:widowControl/>
        <w:tabs>
          <w:tab w:val="left" w:pos="3828"/>
        </w:tabs>
        <w:autoSpaceDE w:val="0"/>
        <w:autoSpaceDN w:val="0"/>
        <w:jc w:val="center"/>
        <w:textAlignment w:val="bottom"/>
        <w:rPr>
          <w:rFonts w:hint="eastAsia" w:ascii="宋体" w:hAnsi="宋体" w:cs="宋体"/>
          <w:b/>
          <w:sz w:val="52"/>
          <w:szCs w:val="52"/>
          <w:u w:val="single"/>
        </w:rPr>
      </w:pPr>
    </w:p>
    <w:p w14:paraId="0A449208">
      <w:pPr>
        <w:rPr>
          <w:rFonts w:hint="eastAsia" w:ascii="宋体" w:hAnsi="宋体" w:cs="宋体"/>
          <w:b/>
          <w:sz w:val="24"/>
        </w:rPr>
      </w:pPr>
    </w:p>
    <w:p w14:paraId="03A2E140">
      <w:pPr>
        <w:spacing w:line="460" w:lineRule="exact"/>
        <w:rPr>
          <w:rFonts w:hint="eastAsia" w:ascii="宋体" w:hAnsi="宋体" w:cs="宋体"/>
          <w:sz w:val="24"/>
        </w:rPr>
      </w:pPr>
    </w:p>
    <w:sectPr>
      <w:headerReference r:id="rId16" w:type="default"/>
      <w:footerReference r:id="rId17" w:type="default"/>
      <w:pgSz w:w="11907" w:h="16840"/>
      <w:pgMar w:top="1134" w:right="1247" w:bottom="1134" w:left="1588" w:header="794"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altName w:val="Ubuntu Light"/>
    <w:panose1 w:val="020B0604030504040204"/>
    <w:charset w:val="00"/>
    <w:family w:val="swiss"/>
    <w:pitch w:val="default"/>
    <w:sig w:usb0="00000000" w:usb1="00000000" w:usb2="00000010" w:usb3="00000000" w:csb0="0000019F" w:csb1="00000000"/>
  </w:font>
  <w:font w:name="Ubuntu Light">
    <w:panose1 w:val="020B0604030602030204"/>
    <w:charset w:val="00"/>
    <w:family w:val="auto"/>
    <w:pitch w:val="default"/>
    <w:sig w:usb0="E00002FF" w:usb1="5000205B" w:usb2="00000000" w:usb3="00000000" w:csb0="2000009F" w:csb1="56010000"/>
  </w:font>
  <w:font w:name="微软雅黑">
    <w:altName w:val="方正黑体_GBK"/>
    <w:panose1 w:val="020B0503020204020204"/>
    <w:charset w:val="86"/>
    <w:family w:val="swiss"/>
    <w:pitch w:val="default"/>
    <w:sig w:usb0="00000000" w:usb1="0000000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
    <w:altName w:val="仿宋_GB2312"/>
    <w:panose1 w:val="02010609060101010101"/>
    <w:charset w:val="86"/>
    <w:family w:val="modern"/>
    <w:pitch w:val="default"/>
    <w:sig w:usb0="00000000" w:usb1="00000000" w:usb2="00000016" w:usb3="00000000" w:csb0="00040001" w:csb1="00000000"/>
  </w:font>
  <w:font w:name="华文行楷">
    <w:panose1 w:val="02010800040101010101"/>
    <w:charset w:val="86"/>
    <w:family w:val="auto"/>
    <w:pitch w:val="default"/>
    <w:sig w:usb0="00000001" w:usb1="080F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00000001" w:usb1="08000000" w:usb2="00000000" w:usb3="00000000" w:csb0="00040000" w:csb1="0000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60199">
    <w:pPr>
      <w:pStyle w:val="25"/>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08CE5">
                          <w:pPr>
                            <w:pStyle w:val="25"/>
                            <w:rPr>
                              <w:rFonts w:hint="eastAsia"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w:t>
                          </w:r>
                          <w:r>
                            <w:rPr>
                              <w:rFonts w:ascii="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2336;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CTk9rqMQIAAF8EAAAOAAAAAAAAAAEAIAAAACUBAABkcnMvZTJvRG9jLnht&#10;bFBLBQYAAAAABgAGAFkBAADIBQAAAAA=&#10;">
              <v:fill on="f" focussize="0,0"/>
              <v:stroke on="f" weight="0.5pt"/>
              <v:imagedata o:title=""/>
              <o:lock v:ext="edit" aspectratio="f"/>
              <v:textbox inset="16pt,0mm,16pt,0mm" style="mso-fit-shape-to-text:t;">
                <w:txbxContent>
                  <w:p w14:paraId="60F08CE5">
                    <w:pPr>
                      <w:pStyle w:val="25"/>
                      <w:rPr>
                        <w:rFonts w:hint="eastAsia"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w:t>
                    </w:r>
                    <w:r>
                      <w:rPr>
                        <w:rFonts w:ascii="宋体" w:hAnsi="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2F9A8">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27152">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07607">
    <w:pPr>
      <w:pStyle w:val="25"/>
    </w:pPr>
  </w:p>
  <w:p w14:paraId="5F2CF5E9">
    <w:pPr>
      <w:pStyle w:val="25"/>
    </w:pPr>
    <w:r>
      <w:rPr>
        <w:rFonts w:hint="eastAsia"/>
        <w:lang w:val="en-US" w:eastAsia="zh-CN"/>
      </w:rPr>
      <w:t xml:space="preserve">                   </w:t>
    </w: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AAD826">
                          <w:pPr>
                            <w:pStyle w:val="25"/>
                            <w:rPr>
                              <w:rStyle w:val="44"/>
                              <w:sz w:val="21"/>
                              <w:szCs w:val="21"/>
                            </w:rPr>
                          </w:pPr>
                          <w:r>
                            <w:rPr>
                              <w:rStyle w:val="44"/>
                              <w:sz w:val="21"/>
                              <w:szCs w:val="21"/>
                            </w:rPr>
                            <w:fldChar w:fldCharType="begin"/>
                          </w:r>
                          <w:r>
                            <w:rPr>
                              <w:rStyle w:val="44"/>
                              <w:sz w:val="21"/>
                              <w:szCs w:val="21"/>
                            </w:rPr>
                            <w:instrText xml:space="preserve">PAGE  </w:instrText>
                          </w:r>
                          <w:r>
                            <w:rPr>
                              <w:rStyle w:val="44"/>
                              <w:sz w:val="21"/>
                              <w:szCs w:val="21"/>
                            </w:rPr>
                            <w:fldChar w:fldCharType="separate"/>
                          </w:r>
                          <w:r>
                            <w:rPr>
                              <w:rStyle w:val="44"/>
                              <w:sz w:val="21"/>
                              <w:szCs w:val="21"/>
                            </w:rPr>
                            <w:t>4</w:t>
                          </w:r>
                          <w:r>
                            <w:rPr>
                              <w:rStyle w:val="44"/>
                              <w:sz w:val="21"/>
                              <w:szCs w:val="21"/>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x02M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ZVG+TR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nHTYzAEAAJwDAAAOAAAAAAAAAAEAIAAAAB4BAABkcnMvZTJv&#10;RG9jLnhtbFBLBQYAAAAABgAGAFkBAABcBQAAAAA=&#10;">
              <v:fill on="f" focussize="0,0"/>
              <v:stroke on="f"/>
              <v:imagedata o:title=""/>
              <o:lock v:ext="edit" aspectratio="f"/>
              <v:textbox inset="0mm,0mm,0mm,0mm" style="mso-fit-shape-to-text:t;">
                <w:txbxContent>
                  <w:p w14:paraId="6DAAD826">
                    <w:pPr>
                      <w:pStyle w:val="25"/>
                      <w:rPr>
                        <w:rStyle w:val="44"/>
                        <w:sz w:val="21"/>
                        <w:szCs w:val="21"/>
                      </w:rPr>
                    </w:pPr>
                    <w:r>
                      <w:rPr>
                        <w:rStyle w:val="44"/>
                        <w:sz w:val="21"/>
                        <w:szCs w:val="21"/>
                      </w:rPr>
                      <w:fldChar w:fldCharType="begin"/>
                    </w:r>
                    <w:r>
                      <w:rPr>
                        <w:rStyle w:val="44"/>
                        <w:sz w:val="21"/>
                        <w:szCs w:val="21"/>
                      </w:rPr>
                      <w:instrText xml:space="preserve">PAGE  </w:instrText>
                    </w:r>
                    <w:r>
                      <w:rPr>
                        <w:rStyle w:val="44"/>
                        <w:sz w:val="21"/>
                        <w:szCs w:val="21"/>
                      </w:rPr>
                      <w:fldChar w:fldCharType="separate"/>
                    </w:r>
                    <w:r>
                      <w:rPr>
                        <w:rStyle w:val="44"/>
                        <w:sz w:val="21"/>
                        <w:szCs w:val="21"/>
                      </w:rPr>
                      <w:t>4</w:t>
                    </w:r>
                    <w:r>
                      <w:rPr>
                        <w:rStyle w:val="44"/>
                        <w:sz w:val="21"/>
                        <w:szCs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EDE9E">
    <w:pPr>
      <w:pStyle w:val="25"/>
      <w:framePr w:wrap="around" w:vAnchor="text" w:hAnchor="margin" w:xAlign="center" w:y="1"/>
      <w:rPr>
        <w:rStyle w:val="44"/>
      </w:rPr>
    </w:pPr>
    <w:r>
      <w:rPr>
        <w:rStyle w:val="44"/>
      </w:rPr>
      <w:fldChar w:fldCharType="begin"/>
    </w:r>
    <w:r>
      <w:rPr>
        <w:rStyle w:val="44"/>
      </w:rPr>
      <w:instrText xml:space="preserve">PAGE  </w:instrText>
    </w:r>
    <w:r>
      <w:rPr>
        <w:rStyle w:val="44"/>
      </w:rPr>
      <w:fldChar w:fldCharType="separate"/>
    </w:r>
    <w:r>
      <w:rPr>
        <w:rStyle w:val="44"/>
      </w:rPr>
      <w:fldChar w:fldCharType="end"/>
    </w:r>
  </w:p>
  <w:p w14:paraId="24A9D7A1">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26137">
    <w:pPr>
      <w:pStyle w:val="25"/>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3C2802">
                          <w:pPr>
                            <w:pStyle w:val="25"/>
                            <w:rPr>
                              <w:rFonts w:hint="eastAsia"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w:t>
                          </w:r>
                          <w:r>
                            <w:rPr>
                              <w:rFonts w:ascii="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BXi1LaNwIAAG0EAAAOAAAAAAAAAAEAIAAAACUBAABkcnMvZTJv&#10;RG9jLnhtbFBLBQYAAAAABgAGAFkBAADOBQAAAAA=&#10;">
              <v:fill on="f" focussize="0,0"/>
              <v:stroke on="f" weight="0.5pt"/>
              <v:imagedata o:title=""/>
              <o:lock v:ext="edit" aspectratio="f"/>
              <v:textbox inset="16pt,0mm,16pt,0mm" style="mso-fit-shape-to-text:t;">
                <w:txbxContent>
                  <w:p w14:paraId="273C2802">
                    <w:pPr>
                      <w:pStyle w:val="25"/>
                      <w:rPr>
                        <w:rFonts w:hint="eastAsia"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w:t>
                    </w:r>
                    <w:r>
                      <w:rPr>
                        <w:rFonts w:ascii="宋体" w:hAnsi="宋体"/>
                        <w:sz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8534D">
    <w:pPr>
      <w:pStyle w:val="15"/>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66370" cy="1524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a:effectLst/>
                    </wps:spPr>
                    <wps:txbx>
                      <w:txbxContent>
                        <w:p w14:paraId="6D3D7CCD">
                          <w:pPr>
                            <w:spacing w:before="12"/>
                            <w:ind w:left="40"/>
                            <w:jc w:val="left"/>
                            <w:rPr>
                              <w:rFonts w:hint="eastAsia"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15</w:t>
                          </w:r>
                          <w:r>
                            <w:rPr>
                              <w:rFonts w:ascii="宋体" w:hAnsi="宋体"/>
                              <w:sz w:val="28"/>
                            </w:rPr>
                            <w:fldChar w:fldCharType="end"/>
                          </w:r>
                          <w:r>
                            <w:rPr>
                              <w:rFonts w:ascii="宋体" w:hAnsi="宋体"/>
                              <w:sz w:val="24"/>
                            </w:rPr>
                            <w:t>　</w:t>
                          </w:r>
                          <w:r>
                            <w:rPr>
                              <w:rFonts w:ascii="宋体" w:hAnsi="宋体"/>
                              <w:sz w:val="28"/>
                            </w:rPr>
                            <w:t>—</w:t>
                          </w:r>
                        </w:p>
                      </w:txbxContent>
                    </wps:txbx>
                    <wps:bodyPr vert="horz" wrap="none" lIns="203200" tIns="0" rIns="203200" bIns="0" anchor="t" anchorCtr="0">
                      <a:spAutoFit/>
                    </wps:bodyPr>
                  </wps:wsp>
                </a:graphicData>
              </a:graphic>
            </wp:anchor>
          </w:drawing>
        </mc:Choice>
        <mc:Fallback>
          <w:pict>
            <v:shape id="文本框 2" o:spid="_x0000_s1026" o:spt="202" type="#_x0000_t202" style="position:absolute;left:0pt;margin-top:1pt;height:12pt;width:13.1pt;mso-position-horizontal:outside;mso-position-horizontal-relative:margin;mso-wrap-style:none;z-index:251659264;mso-width-relative:page;mso-height-relative:page;" filled="f" stroked="f" coordsize="21600,21600" o:gfxdata="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05ptmzwAAAAQBAAAPAAAA&#10;AAAAAAEAIAAAACIAAABkcnMvZG93bnJldi54bWxQSwECFAAUAAAACACHTuJAEP1pA+UBAADIAwAA&#10;DgAAAAAAAAABACAAAAAeAQAAZHJzL2Uyb0RvYy54bWxQSwUGAAAAAAYABgBZAQAAdQUAAAAA&#10;">
              <v:fill on="f" focussize="0,0"/>
              <v:stroke on="f"/>
              <v:imagedata o:title=""/>
              <o:lock v:ext="edit" aspectratio="f"/>
              <v:textbox inset="16pt,0mm,16pt,0mm" style="mso-fit-shape-to-text:t;">
                <w:txbxContent>
                  <w:p w14:paraId="6D3D7CCD">
                    <w:pPr>
                      <w:spacing w:before="12"/>
                      <w:ind w:left="40"/>
                      <w:jc w:val="left"/>
                      <w:rPr>
                        <w:rFonts w:hint="eastAsia"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15</w:t>
                    </w:r>
                    <w:r>
                      <w:rPr>
                        <w:rFonts w:ascii="宋体" w:hAnsi="宋体"/>
                        <w:sz w:val="28"/>
                      </w:rPr>
                      <w:fldChar w:fldCharType="end"/>
                    </w:r>
                    <w:r>
                      <w:rPr>
                        <w:rFonts w:ascii="宋体" w:hAnsi="宋体"/>
                        <w:sz w:val="24"/>
                      </w:rPr>
                      <w:t>　</w:t>
                    </w:r>
                    <w:r>
                      <w:rPr>
                        <w:rFonts w:ascii="宋体" w:hAnsi="宋体"/>
                        <w:sz w:val="28"/>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C96CA">
    <w:pPr>
      <w:pStyle w:val="25"/>
      <w:ind w:right="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8A50DC">
                          <w:pPr>
                            <w:pStyle w:val="25"/>
                            <w:rPr>
                              <w:rFonts w:hint="eastAsia"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32</w:t>
                          </w:r>
                          <w:r>
                            <w:rPr>
                              <w:rFonts w:ascii="宋体" w:hAnsi="宋体"/>
                              <w:sz w:val="28"/>
                            </w:rPr>
                            <w:fldChar w:fldCharType="end"/>
                          </w:r>
                          <w:r>
                            <w:rPr>
                              <w:rFonts w:ascii="宋体" w:hAnsi="宋体"/>
                              <w:sz w:val="24"/>
                            </w:rPr>
                            <w:t>　</w:t>
                          </w:r>
                          <w:r>
                            <w:rPr>
                              <w:rFonts w:ascii="宋体" w:hAnsi="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l8lm8DgCAABtBAAADgAAAAAAAAABACAAAAAlAQAAZHJzL2Uy&#10;b0RvYy54bWxQSwUGAAAAAAYABgBZAQAAzwUAAAAA&#10;">
              <v:fill on="f" focussize="0,0"/>
              <v:stroke on="f" weight="0.5pt"/>
              <v:imagedata o:title=""/>
              <o:lock v:ext="edit" aspectratio="f"/>
              <v:textbox inset="16pt,0mm,16pt,0mm" style="mso-fit-shape-to-text:t;">
                <w:txbxContent>
                  <w:p w14:paraId="228A50DC">
                    <w:pPr>
                      <w:pStyle w:val="25"/>
                      <w:rPr>
                        <w:rFonts w:hint="eastAsia"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32</w:t>
                    </w:r>
                    <w:r>
                      <w:rPr>
                        <w:rFonts w:ascii="宋体" w:hAnsi="宋体"/>
                        <w:sz w:val="28"/>
                      </w:rPr>
                      <w:fldChar w:fldCharType="end"/>
                    </w:r>
                    <w:r>
                      <w:rPr>
                        <w:rFonts w:ascii="宋体" w:hAnsi="宋体"/>
                        <w:sz w:val="24"/>
                      </w:rPr>
                      <w:t>　</w:t>
                    </w:r>
                    <w:r>
                      <w:rPr>
                        <w:rFonts w:ascii="宋体" w:hAnsi="宋体"/>
                        <w:sz w:val="28"/>
                      </w:rPr>
                      <w:t>—</w:t>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695AF">
    <w:pPr>
      <w:pStyle w:val="26"/>
      <w:jc w:val="both"/>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80D6D">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76AF3">
    <w:pPr>
      <w:pStyle w:val="26"/>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438B5">
    <w:pPr>
      <w:pStyle w:val="26"/>
      <w:pBdr>
        <w:bottom w:val="none" w:color="auto" w:sz="0" w:space="1"/>
      </w:pBdr>
    </w:pPr>
    <w:r>
      <w:rPr>
        <w:rFonts w:hint="eastAsia"/>
        <w:lang w:val="en-US" w:eastAsia="zh-CN"/>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F1CC9">
    <w:pPr>
      <w:pStyle w:val="26"/>
      <w:pBdr>
        <w:bottom w:val="none" w:color="auto" w:sz="0" w:space="0"/>
      </w:pBdr>
      <w:wordWrap w:val="0"/>
      <w:spacing w:line="700" w:lineRule="exact"/>
      <w:jc w:val="both"/>
      <w:rPr>
        <w:rFonts w:ascii="华文行楷" w:eastAsia="华文行楷"/>
        <w:sz w:val="21"/>
      </w:rPr>
    </w:pPr>
    <w:r>
      <w:rPr>
        <w:rFonts w:hint="eastAsia" w:ascii="华文行楷" w:eastAsia="华文行楷"/>
        <w:sz w:val="21"/>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50E39">
    <w:pPr>
      <w:pStyle w:val="26"/>
      <w:pBdr>
        <w:bottom w:val="none" w:color="auto" w:sz="0" w:space="1"/>
      </w:pBdr>
      <w:ind w:firstLine="4500" w:firstLineChars="2500"/>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C2D9B">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AD4F8"/>
    <w:multiLevelType w:val="singleLevel"/>
    <w:tmpl w:val="9BCAD4F8"/>
    <w:lvl w:ilvl="0" w:tentative="0">
      <w:start w:val="2"/>
      <w:numFmt w:val="decimal"/>
      <w:suff w:val="nothing"/>
      <w:lvlText w:val="%1、"/>
      <w:lvlJc w:val="left"/>
    </w:lvl>
  </w:abstractNum>
  <w:abstractNum w:abstractNumId="1">
    <w:nsid w:val="A51111DC"/>
    <w:multiLevelType w:val="singleLevel"/>
    <w:tmpl w:val="A51111DC"/>
    <w:lvl w:ilvl="0" w:tentative="0">
      <w:start w:val="2"/>
      <w:numFmt w:val="decimal"/>
      <w:suff w:val="nothing"/>
      <w:lvlText w:val="%1、"/>
      <w:lvlJc w:val="left"/>
    </w:lvl>
  </w:abstractNum>
  <w:abstractNum w:abstractNumId="2">
    <w:nsid w:val="B31094A4"/>
    <w:multiLevelType w:val="singleLevel"/>
    <w:tmpl w:val="B31094A4"/>
    <w:lvl w:ilvl="0" w:tentative="0">
      <w:start w:val="2"/>
      <w:numFmt w:val="chineseCounting"/>
      <w:suff w:val="nothing"/>
      <w:lvlText w:val="%1、"/>
      <w:lvlJc w:val="left"/>
      <w:rPr>
        <w:rFonts w:hint="eastAsia"/>
      </w:rPr>
    </w:lvl>
  </w:abstractNum>
  <w:abstractNum w:abstractNumId="3">
    <w:nsid w:val="BBB57927"/>
    <w:multiLevelType w:val="singleLevel"/>
    <w:tmpl w:val="BBB57927"/>
    <w:lvl w:ilvl="0" w:tentative="0">
      <w:start w:val="3"/>
      <w:numFmt w:val="chineseCounting"/>
      <w:suff w:val="space"/>
      <w:lvlText w:val="第%1部分"/>
      <w:lvlJc w:val="left"/>
      <w:rPr>
        <w:rFonts w:hint="eastAsia"/>
      </w:rPr>
    </w:lvl>
  </w:abstractNum>
  <w:abstractNum w:abstractNumId="4">
    <w:nsid w:val="045A1939"/>
    <w:multiLevelType w:val="multilevel"/>
    <w:tmpl w:val="045A1939"/>
    <w:lvl w:ilvl="0" w:tentative="0">
      <w:start w:val="1"/>
      <w:numFmt w:val="decimal"/>
      <w:lvlText w:val="%1."/>
      <w:lvlJc w:val="left"/>
      <w:pPr>
        <w:tabs>
          <w:tab w:val="left" w:pos="840"/>
        </w:tabs>
        <w:ind w:left="840" w:hanging="360"/>
      </w:pPr>
      <w:rPr>
        <w:rFonts w:hint="eastAsia"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5">
    <w:nsid w:val="187031F4"/>
    <w:multiLevelType w:val="multilevel"/>
    <w:tmpl w:val="187031F4"/>
    <w:lvl w:ilvl="0" w:tentative="0">
      <w:start w:val="1"/>
      <w:numFmt w:val="chineseCountingThousand"/>
      <w:suff w:val="nothing"/>
      <w:lvlText w:val="第%1章"/>
      <w:lvlJc w:val="left"/>
      <w:pPr>
        <w:ind w:left="0" w:firstLine="0"/>
      </w:pPr>
      <w:rPr>
        <w:rFonts w:hint="eastAsia"/>
      </w:rPr>
    </w:lvl>
    <w:lvl w:ilvl="1" w:tentative="0">
      <w:start w:val="1"/>
      <w:numFmt w:val="none"/>
      <w:suff w:val="nothing"/>
      <w:lvlText w:val="%2"/>
      <w:lvlJc w:val="left"/>
      <w:pPr>
        <w:ind w:left="0" w:firstLine="0"/>
      </w:pPr>
      <w:rPr>
        <w:rFonts w:hint="eastAsia" w:ascii="黑体" w:eastAsia="黑体"/>
        <w:sz w:val="28"/>
      </w:rPr>
    </w:lvl>
    <w:lvl w:ilvl="2" w:tentative="0">
      <w:start w:val="1"/>
      <w:numFmt w:val="chineseCountingThousand"/>
      <w:suff w:val="nothing"/>
      <w:lvlText w:val="%1%3"/>
      <w:lvlJc w:val="center"/>
      <w:pPr>
        <w:ind w:left="0" w:firstLine="288"/>
      </w:pPr>
      <w:rPr>
        <w:rFonts w:hint="eastAsia" w:ascii="仿宋_GB2312" w:eastAsia="宋体"/>
        <w:b w:val="0"/>
        <w:i w:val="0"/>
        <w:sz w:val="28"/>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6">
    <w:nsid w:val="191E5C59"/>
    <w:multiLevelType w:val="singleLevel"/>
    <w:tmpl w:val="191E5C59"/>
    <w:lvl w:ilvl="0" w:tentative="0">
      <w:start w:val="18"/>
      <w:numFmt w:val="decimal"/>
      <w:lvlText w:val=""/>
      <w:lvlJc w:val="left"/>
      <w:pPr>
        <w:tabs>
          <w:tab w:val="left" w:pos="360"/>
        </w:tabs>
        <w:ind w:left="360" w:hanging="360"/>
      </w:pPr>
      <w:rPr>
        <w:rFonts w:hint="default" w:ascii="Times New Roman" w:hAnsi="Times New Roman"/>
      </w:rPr>
    </w:lvl>
  </w:abstractNum>
  <w:abstractNum w:abstractNumId="7">
    <w:nsid w:val="26E209B3"/>
    <w:multiLevelType w:val="singleLevel"/>
    <w:tmpl w:val="26E209B3"/>
    <w:lvl w:ilvl="0" w:tentative="0">
      <w:start w:val="1"/>
      <w:numFmt w:val="decimal"/>
      <w:lvlText w:val="%1."/>
      <w:lvlJc w:val="left"/>
      <w:pPr>
        <w:tabs>
          <w:tab w:val="left" w:pos="312"/>
        </w:tabs>
      </w:pPr>
    </w:lvl>
  </w:abstractNum>
  <w:abstractNum w:abstractNumId="8">
    <w:nsid w:val="2EF6F2D9"/>
    <w:multiLevelType w:val="singleLevel"/>
    <w:tmpl w:val="2EF6F2D9"/>
    <w:lvl w:ilvl="0" w:tentative="0">
      <w:start w:val="1"/>
      <w:numFmt w:val="chineseCounting"/>
      <w:suff w:val="nothing"/>
      <w:lvlText w:val="第%1章　"/>
      <w:lvlJc w:val="left"/>
      <w:rPr>
        <w:rFonts w:hint="eastAsia"/>
      </w:rPr>
    </w:lvl>
  </w:abstractNum>
  <w:abstractNum w:abstractNumId="9">
    <w:nsid w:val="64928FE7"/>
    <w:multiLevelType w:val="singleLevel"/>
    <w:tmpl w:val="64928FE7"/>
    <w:lvl w:ilvl="0" w:tentative="0">
      <w:start w:val="4"/>
      <w:numFmt w:val="decimal"/>
      <w:suff w:val="nothing"/>
      <w:lvlText w:val="%1、"/>
      <w:lvlJc w:val="left"/>
    </w:lvl>
  </w:abstractNum>
  <w:num w:numId="1">
    <w:abstractNumId w:val="5"/>
  </w:num>
  <w:num w:numId="2">
    <w:abstractNumId w:val="8"/>
  </w:num>
  <w:num w:numId="3">
    <w:abstractNumId w:val="6"/>
  </w:num>
  <w:num w:numId="4">
    <w:abstractNumId w:val="2"/>
  </w:num>
  <w:num w:numId="5">
    <w:abstractNumId w:val="9"/>
  </w:num>
  <w:num w:numId="6">
    <w:abstractNumId w:val="1"/>
  </w:num>
  <w:num w:numId="7">
    <w:abstractNumId w:val="0"/>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gutterAtTop/>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NWJkM2IxYTA5NzdjMmIyZjU2MTRkYTQxN2FlNzkifQ=="/>
  </w:docVars>
  <w:rsids>
    <w:rsidRoot w:val="00172A27"/>
    <w:rsid w:val="00007607"/>
    <w:rsid w:val="00011CE7"/>
    <w:rsid w:val="000121BB"/>
    <w:rsid w:val="00022568"/>
    <w:rsid w:val="0002422D"/>
    <w:rsid w:val="0004519E"/>
    <w:rsid w:val="00052012"/>
    <w:rsid w:val="00056144"/>
    <w:rsid w:val="00066217"/>
    <w:rsid w:val="00067E13"/>
    <w:rsid w:val="0009209B"/>
    <w:rsid w:val="00095313"/>
    <w:rsid w:val="000A5A39"/>
    <w:rsid w:val="000B30EA"/>
    <w:rsid w:val="000C63C7"/>
    <w:rsid w:val="000E790C"/>
    <w:rsid w:val="000F7F5F"/>
    <w:rsid w:val="00115AE3"/>
    <w:rsid w:val="0012265D"/>
    <w:rsid w:val="00122AB5"/>
    <w:rsid w:val="00140BD4"/>
    <w:rsid w:val="001700EB"/>
    <w:rsid w:val="00172A27"/>
    <w:rsid w:val="001D15AA"/>
    <w:rsid w:val="001D37A3"/>
    <w:rsid w:val="001F56E5"/>
    <w:rsid w:val="00206EBC"/>
    <w:rsid w:val="0021456E"/>
    <w:rsid w:val="00216AAB"/>
    <w:rsid w:val="00232E7E"/>
    <w:rsid w:val="00240109"/>
    <w:rsid w:val="0024647B"/>
    <w:rsid w:val="002527BB"/>
    <w:rsid w:val="002729EE"/>
    <w:rsid w:val="00277BC2"/>
    <w:rsid w:val="00284517"/>
    <w:rsid w:val="00287E80"/>
    <w:rsid w:val="0029004F"/>
    <w:rsid w:val="002926C2"/>
    <w:rsid w:val="002947A8"/>
    <w:rsid w:val="002C2492"/>
    <w:rsid w:val="002D0DE6"/>
    <w:rsid w:val="002D2AC8"/>
    <w:rsid w:val="002D43E3"/>
    <w:rsid w:val="002D4B34"/>
    <w:rsid w:val="002D62DA"/>
    <w:rsid w:val="002F595B"/>
    <w:rsid w:val="002F7C8E"/>
    <w:rsid w:val="00304264"/>
    <w:rsid w:val="00313A32"/>
    <w:rsid w:val="00314990"/>
    <w:rsid w:val="00316CEA"/>
    <w:rsid w:val="0032518A"/>
    <w:rsid w:val="003475A1"/>
    <w:rsid w:val="00347EDA"/>
    <w:rsid w:val="0036311C"/>
    <w:rsid w:val="00366854"/>
    <w:rsid w:val="00373E1E"/>
    <w:rsid w:val="00380BC1"/>
    <w:rsid w:val="00386E90"/>
    <w:rsid w:val="003974C6"/>
    <w:rsid w:val="003A1FF1"/>
    <w:rsid w:val="003B2B2C"/>
    <w:rsid w:val="003B4DD4"/>
    <w:rsid w:val="003C34B9"/>
    <w:rsid w:val="003C385C"/>
    <w:rsid w:val="003C765D"/>
    <w:rsid w:val="003D458D"/>
    <w:rsid w:val="003E1752"/>
    <w:rsid w:val="003E403E"/>
    <w:rsid w:val="003F189D"/>
    <w:rsid w:val="003F6FB4"/>
    <w:rsid w:val="00407516"/>
    <w:rsid w:val="00411882"/>
    <w:rsid w:val="004306CF"/>
    <w:rsid w:val="0043262A"/>
    <w:rsid w:val="004370D0"/>
    <w:rsid w:val="00437D20"/>
    <w:rsid w:val="004449E0"/>
    <w:rsid w:val="00447993"/>
    <w:rsid w:val="004579D6"/>
    <w:rsid w:val="004628C4"/>
    <w:rsid w:val="0046493C"/>
    <w:rsid w:val="004655F2"/>
    <w:rsid w:val="0046773F"/>
    <w:rsid w:val="00482114"/>
    <w:rsid w:val="004A71C9"/>
    <w:rsid w:val="004B189E"/>
    <w:rsid w:val="004B1BC1"/>
    <w:rsid w:val="004B42D9"/>
    <w:rsid w:val="004B49D9"/>
    <w:rsid w:val="004C197C"/>
    <w:rsid w:val="004D18AA"/>
    <w:rsid w:val="004E4B19"/>
    <w:rsid w:val="004E6DE3"/>
    <w:rsid w:val="004F0CED"/>
    <w:rsid w:val="00530309"/>
    <w:rsid w:val="00540DE4"/>
    <w:rsid w:val="005448F4"/>
    <w:rsid w:val="00546963"/>
    <w:rsid w:val="00580312"/>
    <w:rsid w:val="00580D60"/>
    <w:rsid w:val="00584341"/>
    <w:rsid w:val="00584C43"/>
    <w:rsid w:val="005A1D35"/>
    <w:rsid w:val="005A2A96"/>
    <w:rsid w:val="005A3C8E"/>
    <w:rsid w:val="005A4544"/>
    <w:rsid w:val="005B2D65"/>
    <w:rsid w:val="005C0B60"/>
    <w:rsid w:val="005D60F9"/>
    <w:rsid w:val="005E0573"/>
    <w:rsid w:val="005F5770"/>
    <w:rsid w:val="005F5E1B"/>
    <w:rsid w:val="005F63A0"/>
    <w:rsid w:val="006029C0"/>
    <w:rsid w:val="006053B0"/>
    <w:rsid w:val="00605FC4"/>
    <w:rsid w:val="006147E8"/>
    <w:rsid w:val="00622696"/>
    <w:rsid w:val="00633228"/>
    <w:rsid w:val="0064475F"/>
    <w:rsid w:val="00646C62"/>
    <w:rsid w:val="00662411"/>
    <w:rsid w:val="006635ED"/>
    <w:rsid w:val="006643EE"/>
    <w:rsid w:val="006675F1"/>
    <w:rsid w:val="00672ABC"/>
    <w:rsid w:val="00675963"/>
    <w:rsid w:val="00677175"/>
    <w:rsid w:val="00686EF0"/>
    <w:rsid w:val="00692B0A"/>
    <w:rsid w:val="006968C2"/>
    <w:rsid w:val="006A7551"/>
    <w:rsid w:val="006B508C"/>
    <w:rsid w:val="006C496E"/>
    <w:rsid w:val="006C7A35"/>
    <w:rsid w:val="006D05EA"/>
    <w:rsid w:val="006D32DB"/>
    <w:rsid w:val="006F40D8"/>
    <w:rsid w:val="00704FD7"/>
    <w:rsid w:val="007143D6"/>
    <w:rsid w:val="007340BD"/>
    <w:rsid w:val="00736327"/>
    <w:rsid w:val="007517C1"/>
    <w:rsid w:val="00753A74"/>
    <w:rsid w:val="00782CEA"/>
    <w:rsid w:val="007A3215"/>
    <w:rsid w:val="007B0D4B"/>
    <w:rsid w:val="007B5D55"/>
    <w:rsid w:val="007C5DEC"/>
    <w:rsid w:val="007C7FF6"/>
    <w:rsid w:val="007D282E"/>
    <w:rsid w:val="007E691A"/>
    <w:rsid w:val="007F4400"/>
    <w:rsid w:val="00802D06"/>
    <w:rsid w:val="00832ED9"/>
    <w:rsid w:val="00836A77"/>
    <w:rsid w:val="0083728A"/>
    <w:rsid w:val="00837423"/>
    <w:rsid w:val="00863EBD"/>
    <w:rsid w:val="00866D4F"/>
    <w:rsid w:val="00874E72"/>
    <w:rsid w:val="00886CBD"/>
    <w:rsid w:val="008945C6"/>
    <w:rsid w:val="00896BF2"/>
    <w:rsid w:val="00897846"/>
    <w:rsid w:val="008A3C71"/>
    <w:rsid w:val="008B3AF3"/>
    <w:rsid w:val="008C1EB7"/>
    <w:rsid w:val="008C20A8"/>
    <w:rsid w:val="008E2502"/>
    <w:rsid w:val="00903906"/>
    <w:rsid w:val="00910A7E"/>
    <w:rsid w:val="009172FF"/>
    <w:rsid w:val="00935715"/>
    <w:rsid w:val="00937F5D"/>
    <w:rsid w:val="00945B6D"/>
    <w:rsid w:val="00956B20"/>
    <w:rsid w:val="009668EB"/>
    <w:rsid w:val="00966C0F"/>
    <w:rsid w:val="009675C6"/>
    <w:rsid w:val="00983F88"/>
    <w:rsid w:val="009948F3"/>
    <w:rsid w:val="009A7405"/>
    <w:rsid w:val="009B055C"/>
    <w:rsid w:val="009B2475"/>
    <w:rsid w:val="009F274F"/>
    <w:rsid w:val="00A121AE"/>
    <w:rsid w:val="00A14489"/>
    <w:rsid w:val="00A15CB5"/>
    <w:rsid w:val="00A4079A"/>
    <w:rsid w:val="00A53BD3"/>
    <w:rsid w:val="00A74D69"/>
    <w:rsid w:val="00A90AA9"/>
    <w:rsid w:val="00A92798"/>
    <w:rsid w:val="00A95822"/>
    <w:rsid w:val="00AA01AD"/>
    <w:rsid w:val="00AA1BDF"/>
    <w:rsid w:val="00AA7291"/>
    <w:rsid w:val="00AB2651"/>
    <w:rsid w:val="00AB26D8"/>
    <w:rsid w:val="00AB37F9"/>
    <w:rsid w:val="00AB5C8A"/>
    <w:rsid w:val="00AC0730"/>
    <w:rsid w:val="00AC4FCC"/>
    <w:rsid w:val="00AD7135"/>
    <w:rsid w:val="00AE57A4"/>
    <w:rsid w:val="00AF4283"/>
    <w:rsid w:val="00AF6F60"/>
    <w:rsid w:val="00B03235"/>
    <w:rsid w:val="00B16018"/>
    <w:rsid w:val="00B47B78"/>
    <w:rsid w:val="00B519B6"/>
    <w:rsid w:val="00B6148A"/>
    <w:rsid w:val="00B616AB"/>
    <w:rsid w:val="00B710BF"/>
    <w:rsid w:val="00B717C3"/>
    <w:rsid w:val="00B737CF"/>
    <w:rsid w:val="00B7467F"/>
    <w:rsid w:val="00B76777"/>
    <w:rsid w:val="00B80A3F"/>
    <w:rsid w:val="00B93DCB"/>
    <w:rsid w:val="00BA4C07"/>
    <w:rsid w:val="00BB7037"/>
    <w:rsid w:val="00BC2A62"/>
    <w:rsid w:val="00BD39A7"/>
    <w:rsid w:val="00BD504C"/>
    <w:rsid w:val="00BE494C"/>
    <w:rsid w:val="00BF5CAB"/>
    <w:rsid w:val="00C13471"/>
    <w:rsid w:val="00C20D93"/>
    <w:rsid w:val="00C31998"/>
    <w:rsid w:val="00C35C71"/>
    <w:rsid w:val="00C603E5"/>
    <w:rsid w:val="00C82387"/>
    <w:rsid w:val="00C83ACC"/>
    <w:rsid w:val="00C86BAB"/>
    <w:rsid w:val="00C964CA"/>
    <w:rsid w:val="00CA2024"/>
    <w:rsid w:val="00CB0416"/>
    <w:rsid w:val="00CB3500"/>
    <w:rsid w:val="00CD030C"/>
    <w:rsid w:val="00CF3FDD"/>
    <w:rsid w:val="00CF7AF8"/>
    <w:rsid w:val="00D00EC2"/>
    <w:rsid w:val="00D03FB7"/>
    <w:rsid w:val="00D067A2"/>
    <w:rsid w:val="00D11E85"/>
    <w:rsid w:val="00D210AB"/>
    <w:rsid w:val="00D22E74"/>
    <w:rsid w:val="00D27A73"/>
    <w:rsid w:val="00D43B71"/>
    <w:rsid w:val="00D50CA9"/>
    <w:rsid w:val="00D85429"/>
    <w:rsid w:val="00D85C15"/>
    <w:rsid w:val="00D913A5"/>
    <w:rsid w:val="00DB35EA"/>
    <w:rsid w:val="00DD6283"/>
    <w:rsid w:val="00DE400B"/>
    <w:rsid w:val="00DF1A78"/>
    <w:rsid w:val="00E017E5"/>
    <w:rsid w:val="00E13C7E"/>
    <w:rsid w:val="00E161B7"/>
    <w:rsid w:val="00E26908"/>
    <w:rsid w:val="00E303A9"/>
    <w:rsid w:val="00E4290C"/>
    <w:rsid w:val="00E42DAE"/>
    <w:rsid w:val="00E57914"/>
    <w:rsid w:val="00E660BA"/>
    <w:rsid w:val="00E734EC"/>
    <w:rsid w:val="00E94B3D"/>
    <w:rsid w:val="00EA06F2"/>
    <w:rsid w:val="00EA435D"/>
    <w:rsid w:val="00EC047E"/>
    <w:rsid w:val="00EC13C7"/>
    <w:rsid w:val="00EC1615"/>
    <w:rsid w:val="00EC6D4B"/>
    <w:rsid w:val="00ED1C83"/>
    <w:rsid w:val="00ED6A13"/>
    <w:rsid w:val="00EE260C"/>
    <w:rsid w:val="00F01EA1"/>
    <w:rsid w:val="00F23AA5"/>
    <w:rsid w:val="00F40166"/>
    <w:rsid w:val="00F55E3A"/>
    <w:rsid w:val="00F663A6"/>
    <w:rsid w:val="00F8521C"/>
    <w:rsid w:val="00F97228"/>
    <w:rsid w:val="00FA44E0"/>
    <w:rsid w:val="00FA567B"/>
    <w:rsid w:val="00FB7B48"/>
    <w:rsid w:val="00FC1AA6"/>
    <w:rsid w:val="00FC323B"/>
    <w:rsid w:val="00FD01C7"/>
    <w:rsid w:val="00FD5A0C"/>
    <w:rsid w:val="00FE1EC4"/>
    <w:rsid w:val="00FE2538"/>
    <w:rsid w:val="00FF1183"/>
    <w:rsid w:val="00FF27BD"/>
    <w:rsid w:val="00FF3BA5"/>
    <w:rsid w:val="014269A2"/>
    <w:rsid w:val="01E647AE"/>
    <w:rsid w:val="02780FF0"/>
    <w:rsid w:val="02C0725B"/>
    <w:rsid w:val="02FB5C9D"/>
    <w:rsid w:val="030C493A"/>
    <w:rsid w:val="031131D0"/>
    <w:rsid w:val="03991CC7"/>
    <w:rsid w:val="03D656ED"/>
    <w:rsid w:val="04156FCA"/>
    <w:rsid w:val="044877FC"/>
    <w:rsid w:val="04B965CD"/>
    <w:rsid w:val="05426CB3"/>
    <w:rsid w:val="05482AC0"/>
    <w:rsid w:val="061F7000"/>
    <w:rsid w:val="06384752"/>
    <w:rsid w:val="067508F8"/>
    <w:rsid w:val="06C63C79"/>
    <w:rsid w:val="07A61607"/>
    <w:rsid w:val="07BB3D4C"/>
    <w:rsid w:val="07FC2953"/>
    <w:rsid w:val="08082C0F"/>
    <w:rsid w:val="083D37DA"/>
    <w:rsid w:val="083E5D66"/>
    <w:rsid w:val="09087585"/>
    <w:rsid w:val="091D2C6B"/>
    <w:rsid w:val="0974598B"/>
    <w:rsid w:val="0A1A2BB1"/>
    <w:rsid w:val="0A4A6920"/>
    <w:rsid w:val="0AAB2A0F"/>
    <w:rsid w:val="0AE4646F"/>
    <w:rsid w:val="0AE778EA"/>
    <w:rsid w:val="0B4B2502"/>
    <w:rsid w:val="0B6244FF"/>
    <w:rsid w:val="0B9657D1"/>
    <w:rsid w:val="0C2A703B"/>
    <w:rsid w:val="0C9E334C"/>
    <w:rsid w:val="0D970811"/>
    <w:rsid w:val="0DFD230E"/>
    <w:rsid w:val="0E4309D5"/>
    <w:rsid w:val="0E524E6C"/>
    <w:rsid w:val="0E985BA5"/>
    <w:rsid w:val="0ED20C45"/>
    <w:rsid w:val="0F024FE0"/>
    <w:rsid w:val="0FB97DB0"/>
    <w:rsid w:val="0FE25477"/>
    <w:rsid w:val="101A060E"/>
    <w:rsid w:val="10655F2F"/>
    <w:rsid w:val="10CE397F"/>
    <w:rsid w:val="10D156E0"/>
    <w:rsid w:val="112964DE"/>
    <w:rsid w:val="11764F99"/>
    <w:rsid w:val="118546CD"/>
    <w:rsid w:val="11AF0384"/>
    <w:rsid w:val="11C73A0D"/>
    <w:rsid w:val="11FC59A9"/>
    <w:rsid w:val="12321F05"/>
    <w:rsid w:val="1264445A"/>
    <w:rsid w:val="12753796"/>
    <w:rsid w:val="12772AE3"/>
    <w:rsid w:val="127D13C8"/>
    <w:rsid w:val="12DD2DD8"/>
    <w:rsid w:val="12F54A01"/>
    <w:rsid w:val="130776DD"/>
    <w:rsid w:val="135E0951"/>
    <w:rsid w:val="13A421B1"/>
    <w:rsid w:val="14283DB8"/>
    <w:rsid w:val="143B138C"/>
    <w:rsid w:val="15093576"/>
    <w:rsid w:val="155A4D56"/>
    <w:rsid w:val="157476FF"/>
    <w:rsid w:val="15757B9A"/>
    <w:rsid w:val="15801C9F"/>
    <w:rsid w:val="158911D3"/>
    <w:rsid w:val="16375F74"/>
    <w:rsid w:val="16445556"/>
    <w:rsid w:val="16610551"/>
    <w:rsid w:val="16612C72"/>
    <w:rsid w:val="16827D96"/>
    <w:rsid w:val="16AD3253"/>
    <w:rsid w:val="172D76A7"/>
    <w:rsid w:val="174473DC"/>
    <w:rsid w:val="17481587"/>
    <w:rsid w:val="17DD5465"/>
    <w:rsid w:val="17F51505"/>
    <w:rsid w:val="17F65611"/>
    <w:rsid w:val="183454B6"/>
    <w:rsid w:val="18492357"/>
    <w:rsid w:val="189622DE"/>
    <w:rsid w:val="192828BB"/>
    <w:rsid w:val="19C7231B"/>
    <w:rsid w:val="19E71AC7"/>
    <w:rsid w:val="1AD34605"/>
    <w:rsid w:val="1AE23FB9"/>
    <w:rsid w:val="1B341603"/>
    <w:rsid w:val="1B542B10"/>
    <w:rsid w:val="1B902A5F"/>
    <w:rsid w:val="1BFD3F79"/>
    <w:rsid w:val="1C7D68D4"/>
    <w:rsid w:val="1CCA35D4"/>
    <w:rsid w:val="1CD759F2"/>
    <w:rsid w:val="1D8268F9"/>
    <w:rsid w:val="1DD07063"/>
    <w:rsid w:val="1E03765B"/>
    <w:rsid w:val="1E625D07"/>
    <w:rsid w:val="1F473530"/>
    <w:rsid w:val="1FD7C45F"/>
    <w:rsid w:val="1FE90A16"/>
    <w:rsid w:val="2006579B"/>
    <w:rsid w:val="20C73F03"/>
    <w:rsid w:val="20C83B59"/>
    <w:rsid w:val="20EA2BC2"/>
    <w:rsid w:val="20F8192C"/>
    <w:rsid w:val="21442370"/>
    <w:rsid w:val="216F7310"/>
    <w:rsid w:val="21E11872"/>
    <w:rsid w:val="21E74448"/>
    <w:rsid w:val="21F5166C"/>
    <w:rsid w:val="22182E19"/>
    <w:rsid w:val="224E25CD"/>
    <w:rsid w:val="22B37BD1"/>
    <w:rsid w:val="23571659"/>
    <w:rsid w:val="238567C0"/>
    <w:rsid w:val="24CC2966"/>
    <w:rsid w:val="250A01DA"/>
    <w:rsid w:val="255707FB"/>
    <w:rsid w:val="25630FFC"/>
    <w:rsid w:val="25D20873"/>
    <w:rsid w:val="25D7645E"/>
    <w:rsid w:val="261D7F79"/>
    <w:rsid w:val="26435FEA"/>
    <w:rsid w:val="264773AF"/>
    <w:rsid w:val="267302C7"/>
    <w:rsid w:val="267746CF"/>
    <w:rsid w:val="26CC6D6F"/>
    <w:rsid w:val="27D64EE4"/>
    <w:rsid w:val="27F948FE"/>
    <w:rsid w:val="2816077C"/>
    <w:rsid w:val="285E6EEC"/>
    <w:rsid w:val="29271599"/>
    <w:rsid w:val="29BB55E0"/>
    <w:rsid w:val="2A034C8F"/>
    <w:rsid w:val="2AE26412"/>
    <w:rsid w:val="2AFE20C0"/>
    <w:rsid w:val="2B7F799F"/>
    <w:rsid w:val="2B824C87"/>
    <w:rsid w:val="2BA610D8"/>
    <w:rsid w:val="2BFC3E5B"/>
    <w:rsid w:val="2CA43FD0"/>
    <w:rsid w:val="2CBD146E"/>
    <w:rsid w:val="2CD7676C"/>
    <w:rsid w:val="2D151C3D"/>
    <w:rsid w:val="2D1E0A38"/>
    <w:rsid w:val="2D7E74ED"/>
    <w:rsid w:val="2DAE6BB5"/>
    <w:rsid w:val="2DDE018C"/>
    <w:rsid w:val="2E6C311D"/>
    <w:rsid w:val="2E6D7A55"/>
    <w:rsid w:val="2E913546"/>
    <w:rsid w:val="2EDA4B3B"/>
    <w:rsid w:val="2F000AF0"/>
    <w:rsid w:val="2F4807B4"/>
    <w:rsid w:val="2F720618"/>
    <w:rsid w:val="304B089B"/>
    <w:rsid w:val="31514070"/>
    <w:rsid w:val="319B6EB6"/>
    <w:rsid w:val="31C1653F"/>
    <w:rsid w:val="31D02538"/>
    <w:rsid w:val="331046B2"/>
    <w:rsid w:val="33362BC0"/>
    <w:rsid w:val="34931482"/>
    <w:rsid w:val="34A278A3"/>
    <w:rsid w:val="34DA2504"/>
    <w:rsid w:val="34F33406"/>
    <w:rsid w:val="3507252B"/>
    <w:rsid w:val="35173D97"/>
    <w:rsid w:val="35447564"/>
    <w:rsid w:val="354603DD"/>
    <w:rsid w:val="36621E8D"/>
    <w:rsid w:val="36D53CC5"/>
    <w:rsid w:val="37426421"/>
    <w:rsid w:val="37751C56"/>
    <w:rsid w:val="37DF2D75"/>
    <w:rsid w:val="37E46CAE"/>
    <w:rsid w:val="38344752"/>
    <w:rsid w:val="391664DF"/>
    <w:rsid w:val="39BC3F04"/>
    <w:rsid w:val="3A2B08C9"/>
    <w:rsid w:val="3A715898"/>
    <w:rsid w:val="3A955D4D"/>
    <w:rsid w:val="3BA5293C"/>
    <w:rsid w:val="3BC8503B"/>
    <w:rsid w:val="3C100882"/>
    <w:rsid w:val="3C15715F"/>
    <w:rsid w:val="3C392EBB"/>
    <w:rsid w:val="3CCC5E4E"/>
    <w:rsid w:val="3CD87BF3"/>
    <w:rsid w:val="3D0920C2"/>
    <w:rsid w:val="3DB763CB"/>
    <w:rsid w:val="3DEC5178"/>
    <w:rsid w:val="3E5A7DF8"/>
    <w:rsid w:val="3F767564"/>
    <w:rsid w:val="3FB7641E"/>
    <w:rsid w:val="3FBFE19A"/>
    <w:rsid w:val="3FDF01BB"/>
    <w:rsid w:val="40C23A68"/>
    <w:rsid w:val="41094541"/>
    <w:rsid w:val="415F1854"/>
    <w:rsid w:val="41F13653"/>
    <w:rsid w:val="42065E6B"/>
    <w:rsid w:val="42257ADE"/>
    <w:rsid w:val="42BA70B7"/>
    <w:rsid w:val="430B4C25"/>
    <w:rsid w:val="435B62C8"/>
    <w:rsid w:val="43DD2F56"/>
    <w:rsid w:val="44512AB3"/>
    <w:rsid w:val="450929D1"/>
    <w:rsid w:val="452D603A"/>
    <w:rsid w:val="45970381"/>
    <w:rsid w:val="45D675E9"/>
    <w:rsid w:val="45E66B72"/>
    <w:rsid w:val="45F30B93"/>
    <w:rsid w:val="45FB72F9"/>
    <w:rsid w:val="461B7E6D"/>
    <w:rsid w:val="466C73DE"/>
    <w:rsid w:val="46AA3BE6"/>
    <w:rsid w:val="46B52D51"/>
    <w:rsid w:val="46F67A56"/>
    <w:rsid w:val="47A46A47"/>
    <w:rsid w:val="47D44777"/>
    <w:rsid w:val="48325798"/>
    <w:rsid w:val="48741872"/>
    <w:rsid w:val="48A42222"/>
    <w:rsid w:val="48FF292C"/>
    <w:rsid w:val="499E6DEB"/>
    <w:rsid w:val="49A674B5"/>
    <w:rsid w:val="49AB1347"/>
    <w:rsid w:val="49DC59BB"/>
    <w:rsid w:val="4A036D2F"/>
    <w:rsid w:val="4A6242BC"/>
    <w:rsid w:val="4B13441D"/>
    <w:rsid w:val="4B3F63AB"/>
    <w:rsid w:val="4C752E07"/>
    <w:rsid w:val="4C813C88"/>
    <w:rsid w:val="4CE56F48"/>
    <w:rsid w:val="4CE813E6"/>
    <w:rsid w:val="4CEB487B"/>
    <w:rsid w:val="4D1F46E6"/>
    <w:rsid w:val="4DE04F2F"/>
    <w:rsid w:val="4E6A5AAB"/>
    <w:rsid w:val="4EF14395"/>
    <w:rsid w:val="4F145571"/>
    <w:rsid w:val="4F2A4018"/>
    <w:rsid w:val="4F671D5A"/>
    <w:rsid w:val="4FC33FD5"/>
    <w:rsid w:val="4FC5520F"/>
    <w:rsid w:val="504F696F"/>
    <w:rsid w:val="50525BFB"/>
    <w:rsid w:val="50A57018"/>
    <w:rsid w:val="50CA399C"/>
    <w:rsid w:val="50E45605"/>
    <w:rsid w:val="510D731C"/>
    <w:rsid w:val="51200316"/>
    <w:rsid w:val="51C54233"/>
    <w:rsid w:val="51DC0629"/>
    <w:rsid w:val="51E23088"/>
    <w:rsid w:val="526C0B56"/>
    <w:rsid w:val="528A3893"/>
    <w:rsid w:val="52AC06FF"/>
    <w:rsid w:val="52B039F4"/>
    <w:rsid w:val="52EA53C2"/>
    <w:rsid w:val="532A142A"/>
    <w:rsid w:val="534D33EB"/>
    <w:rsid w:val="539F2C42"/>
    <w:rsid w:val="54292593"/>
    <w:rsid w:val="54631877"/>
    <w:rsid w:val="54711F9D"/>
    <w:rsid w:val="547C0F9D"/>
    <w:rsid w:val="548B6353"/>
    <w:rsid w:val="54A6749B"/>
    <w:rsid w:val="54B43269"/>
    <w:rsid w:val="550E75DA"/>
    <w:rsid w:val="552270AC"/>
    <w:rsid w:val="55E9131E"/>
    <w:rsid w:val="55F15C66"/>
    <w:rsid w:val="5601659B"/>
    <w:rsid w:val="575D4A11"/>
    <w:rsid w:val="57697F39"/>
    <w:rsid w:val="57D8141A"/>
    <w:rsid w:val="585709FD"/>
    <w:rsid w:val="590F5C39"/>
    <w:rsid w:val="59940314"/>
    <w:rsid w:val="5A1706C4"/>
    <w:rsid w:val="5A620D23"/>
    <w:rsid w:val="5B1C7E59"/>
    <w:rsid w:val="5B4D12A7"/>
    <w:rsid w:val="5BA3124C"/>
    <w:rsid w:val="5C5C1A2E"/>
    <w:rsid w:val="5C834D9C"/>
    <w:rsid w:val="5CA05217"/>
    <w:rsid w:val="5CA057CB"/>
    <w:rsid w:val="5CAC7343"/>
    <w:rsid w:val="5CBF10B5"/>
    <w:rsid w:val="5CEF6BAF"/>
    <w:rsid w:val="5D6C501C"/>
    <w:rsid w:val="5D941677"/>
    <w:rsid w:val="5DC46664"/>
    <w:rsid w:val="5E2B3FCF"/>
    <w:rsid w:val="5EE44E48"/>
    <w:rsid w:val="5F170136"/>
    <w:rsid w:val="5F290BDA"/>
    <w:rsid w:val="5F5F594C"/>
    <w:rsid w:val="5FDD6CA4"/>
    <w:rsid w:val="5FDF78B8"/>
    <w:rsid w:val="608C2085"/>
    <w:rsid w:val="60A346E0"/>
    <w:rsid w:val="61833160"/>
    <w:rsid w:val="61CF36DA"/>
    <w:rsid w:val="621536E1"/>
    <w:rsid w:val="626D5135"/>
    <w:rsid w:val="62CC27C3"/>
    <w:rsid w:val="62DC3EEF"/>
    <w:rsid w:val="62EB2B5A"/>
    <w:rsid w:val="636D280C"/>
    <w:rsid w:val="63910D7C"/>
    <w:rsid w:val="63977162"/>
    <w:rsid w:val="639835C8"/>
    <w:rsid w:val="63A06955"/>
    <w:rsid w:val="6407310A"/>
    <w:rsid w:val="64341D9F"/>
    <w:rsid w:val="64462101"/>
    <w:rsid w:val="64B4350F"/>
    <w:rsid w:val="65401DFC"/>
    <w:rsid w:val="65AD673D"/>
    <w:rsid w:val="65B266B3"/>
    <w:rsid w:val="66100C18"/>
    <w:rsid w:val="661A7DBA"/>
    <w:rsid w:val="6659704F"/>
    <w:rsid w:val="66796226"/>
    <w:rsid w:val="6679753F"/>
    <w:rsid w:val="668D7695"/>
    <w:rsid w:val="66E6443E"/>
    <w:rsid w:val="66F618F5"/>
    <w:rsid w:val="673657B8"/>
    <w:rsid w:val="674160BB"/>
    <w:rsid w:val="67677860"/>
    <w:rsid w:val="6784312D"/>
    <w:rsid w:val="67A031FC"/>
    <w:rsid w:val="684778B3"/>
    <w:rsid w:val="68481B48"/>
    <w:rsid w:val="68902E32"/>
    <w:rsid w:val="698B12F6"/>
    <w:rsid w:val="6A580819"/>
    <w:rsid w:val="6AEB2D12"/>
    <w:rsid w:val="6B571A8A"/>
    <w:rsid w:val="6B7F5894"/>
    <w:rsid w:val="6B8924D8"/>
    <w:rsid w:val="6BBA294E"/>
    <w:rsid w:val="6CD46B7D"/>
    <w:rsid w:val="6D247636"/>
    <w:rsid w:val="6D8F1E22"/>
    <w:rsid w:val="6DFF2810"/>
    <w:rsid w:val="6E2208D9"/>
    <w:rsid w:val="6E2F097F"/>
    <w:rsid w:val="6F0A54F9"/>
    <w:rsid w:val="6F6DDE93"/>
    <w:rsid w:val="6F730A21"/>
    <w:rsid w:val="6FA92CB0"/>
    <w:rsid w:val="6FD1766A"/>
    <w:rsid w:val="6FEC5DB0"/>
    <w:rsid w:val="6FFB04BA"/>
    <w:rsid w:val="70133642"/>
    <w:rsid w:val="708B66D6"/>
    <w:rsid w:val="709419B2"/>
    <w:rsid w:val="70C43A94"/>
    <w:rsid w:val="70DB6C8A"/>
    <w:rsid w:val="70E33499"/>
    <w:rsid w:val="71631144"/>
    <w:rsid w:val="71896DFE"/>
    <w:rsid w:val="71933E24"/>
    <w:rsid w:val="72257674"/>
    <w:rsid w:val="735A4248"/>
    <w:rsid w:val="73BF3136"/>
    <w:rsid w:val="740E5407"/>
    <w:rsid w:val="74174C50"/>
    <w:rsid w:val="74377827"/>
    <w:rsid w:val="74A95D19"/>
    <w:rsid w:val="75046152"/>
    <w:rsid w:val="754C29AA"/>
    <w:rsid w:val="75530B22"/>
    <w:rsid w:val="76AD303F"/>
    <w:rsid w:val="76FE3DF3"/>
    <w:rsid w:val="77184800"/>
    <w:rsid w:val="771DEC44"/>
    <w:rsid w:val="775852FF"/>
    <w:rsid w:val="77991B98"/>
    <w:rsid w:val="77E00216"/>
    <w:rsid w:val="77E66C06"/>
    <w:rsid w:val="77FF39BD"/>
    <w:rsid w:val="77FFABE3"/>
    <w:rsid w:val="78683B21"/>
    <w:rsid w:val="78753910"/>
    <w:rsid w:val="78DB46B5"/>
    <w:rsid w:val="78ED6049"/>
    <w:rsid w:val="796F1A67"/>
    <w:rsid w:val="79D75D96"/>
    <w:rsid w:val="79FF087F"/>
    <w:rsid w:val="7B2F7879"/>
    <w:rsid w:val="7B836766"/>
    <w:rsid w:val="7BDA6564"/>
    <w:rsid w:val="7BEF62FF"/>
    <w:rsid w:val="7C040FC5"/>
    <w:rsid w:val="7C5039A6"/>
    <w:rsid w:val="7C655F22"/>
    <w:rsid w:val="7D6046B8"/>
    <w:rsid w:val="7DC4560F"/>
    <w:rsid w:val="7E1533E7"/>
    <w:rsid w:val="7E9497B1"/>
    <w:rsid w:val="7ECD76A8"/>
    <w:rsid w:val="7EEC6B99"/>
    <w:rsid w:val="7F2727A5"/>
    <w:rsid w:val="7F3D39A8"/>
    <w:rsid w:val="7FC8659D"/>
    <w:rsid w:val="7FE7708A"/>
    <w:rsid w:val="7FF84F53"/>
    <w:rsid w:val="7FF92722"/>
    <w:rsid w:val="928FDF85"/>
    <w:rsid w:val="9F2D714E"/>
    <w:rsid w:val="B4EF378E"/>
    <w:rsid w:val="BFB84121"/>
    <w:rsid w:val="BFC01DAD"/>
    <w:rsid w:val="CDFF8964"/>
    <w:rsid w:val="E3F85B88"/>
    <w:rsid w:val="E7DF85DC"/>
    <w:rsid w:val="EBBE6B5C"/>
    <w:rsid w:val="EDDAA3BB"/>
    <w:rsid w:val="EF8D1C73"/>
    <w:rsid w:val="F5354511"/>
    <w:rsid w:val="F7A3AF4C"/>
    <w:rsid w:val="FB5EE59A"/>
    <w:rsid w:val="FB7D7215"/>
    <w:rsid w:val="FEFE51D3"/>
    <w:rsid w:val="FFBF9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78" w:lineRule="auto"/>
      <w:jc w:val="center"/>
      <w:outlineLvl w:val="0"/>
    </w:pPr>
    <w:rPr>
      <w:b/>
      <w:bCs/>
      <w:kern w:val="44"/>
      <w:sz w:val="32"/>
      <w:szCs w:val="44"/>
    </w:rPr>
  </w:style>
  <w:style w:type="paragraph" w:styleId="3">
    <w:name w:val="heading 2"/>
    <w:basedOn w:val="1"/>
    <w:next w:val="1"/>
    <w:qFormat/>
    <w:uiPriority w:val="0"/>
    <w:pPr>
      <w:keepNext/>
      <w:keepLines/>
      <w:spacing w:line="416" w:lineRule="auto"/>
      <w:outlineLvl w:val="1"/>
    </w:pPr>
    <w:rPr>
      <w:rFonts w:ascii="Arial" w:hAnsi="Arial" w:eastAsia="黑体"/>
      <w:b/>
      <w:bCs/>
      <w:sz w:val="32"/>
      <w:szCs w:val="32"/>
    </w:rPr>
  </w:style>
  <w:style w:type="paragraph" w:styleId="4">
    <w:name w:val="heading 3"/>
    <w:basedOn w:val="1"/>
    <w:next w:val="1"/>
    <w:link w:val="49"/>
    <w:qFormat/>
    <w:uiPriority w:val="0"/>
    <w:pPr>
      <w:keepNext/>
      <w:keepLines/>
      <w:spacing w:line="416" w:lineRule="auto"/>
      <w:outlineLvl w:val="2"/>
    </w:pPr>
    <w:rPr>
      <w:b/>
      <w:bCs/>
      <w:sz w:val="32"/>
      <w:szCs w:val="32"/>
    </w:rPr>
  </w:style>
  <w:style w:type="paragraph" w:styleId="5">
    <w:name w:val="heading 4"/>
    <w:basedOn w:val="1"/>
    <w:next w:val="1"/>
    <w:qFormat/>
    <w:uiPriority w:val="0"/>
    <w:pPr>
      <w:keepNext/>
      <w:keepLines/>
      <w:adjustRightInd w:val="0"/>
      <w:spacing w:line="360" w:lineRule="auto"/>
      <w:ind w:firstLine="315"/>
      <w:jc w:val="center"/>
      <w:textAlignment w:val="baseline"/>
      <w:outlineLvl w:val="3"/>
    </w:pPr>
    <w:rPr>
      <w:rFonts w:ascii="宋体" w:hAnsi="宋体"/>
      <w:b/>
      <w:kern w:val="0"/>
      <w:sz w:val="30"/>
      <w:szCs w:val="20"/>
    </w:rPr>
  </w:style>
  <w:style w:type="paragraph" w:styleId="6">
    <w:name w:val="heading 5"/>
    <w:basedOn w:val="1"/>
    <w:next w:val="7"/>
    <w:qFormat/>
    <w:uiPriority w:val="0"/>
    <w:pPr>
      <w:keepNext/>
      <w:keepLines/>
      <w:numPr>
        <w:ilvl w:val="4"/>
        <w:numId w:val="1"/>
      </w:numPr>
      <w:adjustRightInd w:val="0"/>
      <w:spacing w:line="376" w:lineRule="atLeast"/>
      <w:jc w:val="left"/>
      <w:textAlignment w:val="baseline"/>
      <w:outlineLvl w:val="4"/>
    </w:pPr>
    <w:rPr>
      <w:b/>
      <w:kern w:val="0"/>
      <w:sz w:val="28"/>
    </w:rPr>
  </w:style>
  <w:style w:type="paragraph" w:styleId="8">
    <w:name w:val="heading 6"/>
    <w:basedOn w:val="1"/>
    <w:next w:val="1"/>
    <w:qFormat/>
    <w:uiPriority w:val="0"/>
    <w:pPr>
      <w:keepNext/>
      <w:keepLines/>
      <w:numPr>
        <w:ilvl w:val="5"/>
        <w:numId w:val="1"/>
      </w:numPr>
      <w:adjustRightInd w:val="0"/>
      <w:spacing w:line="320" w:lineRule="atLeast"/>
      <w:jc w:val="left"/>
      <w:textAlignment w:val="baseline"/>
      <w:outlineLvl w:val="5"/>
    </w:pPr>
    <w:rPr>
      <w:rFonts w:ascii="Arial" w:hAnsi="Arial" w:eastAsia="黑体"/>
      <w:b/>
      <w:kern w:val="0"/>
      <w:sz w:val="24"/>
      <w:szCs w:val="20"/>
    </w:rPr>
  </w:style>
  <w:style w:type="paragraph" w:styleId="9">
    <w:name w:val="heading 7"/>
    <w:basedOn w:val="1"/>
    <w:next w:val="7"/>
    <w:qFormat/>
    <w:uiPriority w:val="0"/>
    <w:pPr>
      <w:keepNext/>
      <w:keepLines/>
      <w:numPr>
        <w:ilvl w:val="6"/>
        <w:numId w:val="1"/>
      </w:numPr>
      <w:adjustRightInd w:val="0"/>
      <w:spacing w:line="320" w:lineRule="atLeast"/>
      <w:jc w:val="left"/>
      <w:textAlignment w:val="baseline"/>
      <w:outlineLvl w:val="6"/>
    </w:pPr>
    <w:rPr>
      <w:b/>
      <w:kern w:val="0"/>
      <w:sz w:val="24"/>
      <w:szCs w:val="20"/>
    </w:rPr>
  </w:style>
  <w:style w:type="paragraph" w:styleId="10">
    <w:name w:val="heading 8"/>
    <w:basedOn w:val="1"/>
    <w:next w:val="7"/>
    <w:qFormat/>
    <w:uiPriority w:val="0"/>
    <w:pPr>
      <w:keepNext/>
      <w:keepLines/>
      <w:numPr>
        <w:ilvl w:val="7"/>
        <w:numId w:val="1"/>
      </w:numPr>
      <w:adjustRightInd w:val="0"/>
      <w:spacing w:line="320" w:lineRule="atLeast"/>
      <w:jc w:val="left"/>
      <w:textAlignment w:val="baseline"/>
      <w:outlineLvl w:val="7"/>
    </w:pPr>
    <w:rPr>
      <w:rFonts w:ascii="Arial" w:hAnsi="Arial" w:eastAsia="黑体"/>
      <w:kern w:val="0"/>
      <w:sz w:val="24"/>
      <w:szCs w:val="20"/>
    </w:rPr>
  </w:style>
  <w:style w:type="paragraph" w:styleId="11">
    <w:name w:val="heading 9"/>
    <w:basedOn w:val="1"/>
    <w:next w:val="7"/>
    <w:qFormat/>
    <w:uiPriority w:val="0"/>
    <w:pPr>
      <w:keepNext/>
      <w:keepLines/>
      <w:numPr>
        <w:ilvl w:val="8"/>
        <w:numId w:val="1"/>
      </w:numPr>
      <w:adjustRightInd w:val="0"/>
      <w:spacing w:line="320" w:lineRule="atLeast"/>
      <w:jc w:val="left"/>
      <w:textAlignment w:val="baseline"/>
      <w:outlineLvl w:val="8"/>
    </w:pPr>
    <w:rPr>
      <w:rFonts w:ascii="Arial" w:hAnsi="Arial" w:eastAsia="黑体"/>
      <w:kern w:val="0"/>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0"/>
    <w:qFormat/>
    <w:uiPriority w:val="0"/>
    <w:pPr>
      <w:spacing w:line="360" w:lineRule="auto"/>
      <w:ind w:firstLine="480" w:firstLineChars="200"/>
    </w:pPr>
    <w:rPr>
      <w:rFonts w:eastAsia="仿宋_GB2312"/>
      <w:sz w:val="24"/>
    </w:rPr>
  </w:style>
  <w:style w:type="paragraph" w:styleId="12">
    <w:name w:val="toc 7"/>
    <w:basedOn w:val="1"/>
    <w:next w:val="1"/>
    <w:semiHidden/>
    <w:qFormat/>
    <w:uiPriority w:val="0"/>
    <w:pPr>
      <w:ind w:left="2520" w:leftChars="1200"/>
    </w:pPr>
  </w:style>
  <w:style w:type="paragraph" w:styleId="13">
    <w:name w:val="annotation text"/>
    <w:basedOn w:val="1"/>
    <w:semiHidden/>
    <w:qFormat/>
    <w:uiPriority w:val="0"/>
    <w:pPr>
      <w:jc w:val="left"/>
    </w:pPr>
  </w:style>
  <w:style w:type="paragraph" w:styleId="14">
    <w:name w:val="Body Text 3"/>
    <w:basedOn w:val="1"/>
    <w:qFormat/>
    <w:uiPriority w:val="0"/>
    <w:pPr>
      <w:jc w:val="center"/>
    </w:pPr>
    <w:rPr>
      <w:b/>
      <w:bCs/>
      <w:sz w:val="28"/>
      <w:szCs w:val="20"/>
    </w:rPr>
  </w:style>
  <w:style w:type="paragraph" w:styleId="15">
    <w:name w:val="Body Text"/>
    <w:basedOn w:val="1"/>
    <w:next w:val="16"/>
    <w:link w:val="96"/>
    <w:qFormat/>
    <w:uiPriority w:val="99"/>
    <w:pPr>
      <w:spacing w:line="180" w:lineRule="auto"/>
    </w:pPr>
    <w:rPr>
      <w:rFonts w:ascii="黑体" w:eastAsia="黑体"/>
      <w:sz w:val="24"/>
      <w:szCs w:val="20"/>
    </w:rPr>
  </w:style>
  <w:style w:type="paragraph" w:styleId="16">
    <w:name w:val="toc 2"/>
    <w:basedOn w:val="1"/>
    <w:next w:val="1"/>
    <w:qFormat/>
    <w:uiPriority w:val="39"/>
    <w:pPr>
      <w:tabs>
        <w:tab w:val="left" w:pos="945"/>
        <w:tab w:val="right" w:leader="dot" w:pos="9062"/>
      </w:tabs>
      <w:ind w:left="420" w:leftChars="200"/>
    </w:pPr>
  </w:style>
  <w:style w:type="paragraph" w:styleId="17">
    <w:name w:val="Body Text Indent"/>
    <w:basedOn w:val="1"/>
    <w:qFormat/>
    <w:uiPriority w:val="0"/>
    <w:pPr>
      <w:ind w:firstLine="480"/>
    </w:pPr>
    <w:rPr>
      <w:rFonts w:ascii="黑体" w:eastAsia="黑体"/>
      <w:sz w:val="24"/>
      <w:szCs w:val="20"/>
    </w:rPr>
  </w:style>
  <w:style w:type="paragraph" w:styleId="18">
    <w:name w:val="toc 5"/>
    <w:basedOn w:val="1"/>
    <w:next w:val="1"/>
    <w:semiHidden/>
    <w:qFormat/>
    <w:uiPriority w:val="0"/>
    <w:pPr>
      <w:ind w:left="1680" w:leftChars="800"/>
    </w:pPr>
  </w:style>
  <w:style w:type="paragraph" w:styleId="19">
    <w:name w:val="toc 3"/>
    <w:basedOn w:val="1"/>
    <w:next w:val="1"/>
    <w:qFormat/>
    <w:uiPriority w:val="39"/>
    <w:pPr>
      <w:tabs>
        <w:tab w:val="right" w:leader="dot" w:pos="9062"/>
      </w:tabs>
      <w:spacing w:line="360" w:lineRule="auto"/>
      <w:ind w:left="841" w:leftChars="172" w:hanging="480" w:hangingChars="200"/>
    </w:pPr>
  </w:style>
  <w:style w:type="paragraph" w:styleId="20">
    <w:name w:val="Plain Text"/>
    <w:basedOn w:val="1"/>
    <w:link w:val="51"/>
    <w:qFormat/>
    <w:uiPriority w:val="0"/>
    <w:rPr>
      <w:rFonts w:ascii="宋体" w:hAnsi="Courier New"/>
      <w:szCs w:val="20"/>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rFonts w:ascii="宋体" w:hAnsi="Courier New"/>
      <w:szCs w:val="20"/>
    </w:rPr>
  </w:style>
  <w:style w:type="paragraph" w:styleId="23">
    <w:name w:val="Body Text Indent 2"/>
    <w:basedOn w:val="1"/>
    <w:qFormat/>
    <w:uiPriority w:val="0"/>
    <w:pPr>
      <w:ind w:firstLine="616" w:firstLineChars="220"/>
    </w:pPr>
    <w:rPr>
      <w:sz w:val="28"/>
    </w:rPr>
  </w:style>
  <w:style w:type="paragraph" w:styleId="24">
    <w:name w:val="Balloon Text"/>
    <w:basedOn w:val="1"/>
    <w:link w:val="114"/>
    <w:qFormat/>
    <w:uiPriority w:val="0"/>
    <w:rPr>
      <w:sz w:val="18"/>
      <w:szCs w:val="18"/>
    </w:rPr>
  </w:style>
  <w:style w:type="paragraph" w:styleId="25">
    <w:name w:val="footer"/>
    <w:basedOn w:val="1"/>
    <w:qFormat/>
    <w:uiPriority w:val="0"/>
    <w:pPr>
      <w:tabs>
        <w:tab w:val="center" w:pos="4153"/>
        <w:tab w:val="right" w:pos="8306"/>
      </w:tabs>
      <w:snapToGrid w:val="0"/>
      <w:jc w:val="left"/>
    </w:pPr>
    <w:rPr>
      <w:sz w:val="18"/>
      <w:szCs w:val="18"/>
    </w:rPr>
  </w:style>
  <w:style w:type="paragraph" w:styleId="26">
    <w:name w:val="header"/>
    <w:basedOn w:val="1"/>
    <w:link w:val="52"/>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tabs>
        <w:tab w:val="left" w:pos="720"/>
        <w:tab w:val="right" w:leader="dot" w:pos="9062"/>
      </w:tabs>
      <w:spacing w:line="360" w:lineRule="auto"/>
      <w:ind w:firstLine="480" w:firstLineChars="200"/>
    </w:pPr>
    <w:rPr>
      <w:sz w:val="24"/>
      <w:szCs w:val="20"/>
    </w:rPr>
  </w:style>
  <w:style w:type="paragraph" w:styleId="28">
    <w:name w:val="toc 4"/>
    <w:basedOn w:val="1"/>
    <w:next w:val="1"/>
    <w:semiHidden/>
    <w:qFormat/>
    <w:uiPriority w:val="0"/>
    <w:pPr>
      <w:ind w:left="1260" w:leftChars="600"/>
    </w:pPr>
  </w:style>
  <w:style w:type="paragraph" w:styleId="29">
    <w:name w:val="footnote text"/>
    <w:basedOn w:val="1"/>
    <w:semiHidden/>
    <w:qFormat/>
    <w:uiPriority w:val="0"/>
    <w:pPr>
      <w:adjustRightInd w:val="0"/>
      <w:spacing w:line="312" w:lineRule="atLeast"/>
      <w:jc w:val="left"/>
      <w:textAlignment w:val="baseline"/>
    </w:pPr>
    <w:rPr>
      <w:kern w:val="0"/>
      <w:sz w:val="18"/>
      <w:szCs w:val="20"/>
    </w:rPr>
  </w:style>
  <w:style w:type="paragraph" w:styleId="30">
    <w:name w:val="toc 6"/>
    <w:basedOn w:val="1"/>
    <w:next w:val="1"/>
    <w:semiHidden/>
    <w:qFormat/>
    <w:uiPriority w:val="0"/>
    <w:pPr>
      <w:ind w:left="2100" w:leftChars="1000"/>
    </w:pPr>
  </w:style>
  <w:style w:type="paragraph" w:styleId="31">
    <w:name w:val="Body Text Indent 3"/>
    <w:basedOn w:val="1"/>
    <w:qFormat/>
    <w:uiPriority w:val="0"/>
    <w:pPr>
      <w:adjustRightInd w:val="0"/>
      <w:snapToGrid w:val="0"/>
      <w:spacing w:line="360" w:lineRule="auto"/>
      <w:ind w:firstLine="471" w:firstLineChars="200"/>
    </w:pPr>
    <w:rPr>
      <w:rFonts w:ascii="宋体" w:hAnsi="宋体"/>
      <w:sz w:val="24"/>
    </w:rPr>
  </w:style>
  <w:style w:type="paragraph" w:styleId="32">
    <w:name w:val="toc 9"/>
    <w:basedOn w:val="1"/>
    <w:next w:val="1"/>
    <w:semiHidden/>
    <w:qFormat/>
    <w:uiPriority w:val="0"/>
    <w:pPr>
      <w:ind w:left="3360" w:leftChars="1600"/>
    </w:pPr>
  </w:style>
  <w:style w:type="paragraph" w:styleId="33">
    <w:name w:val="Body Text 2"/>
    <w:basedOn w:val="1"/>
    <w:link w:val="115"/>
    <w:qFormat/>
    <w:uiPriority w:val="0"/>
    <w:rPr>
      <w:sz w:val="28"/>
    </w:rPr>
  </w:style>
  <w:style w:type="paragraph" w:styleId="34">
    <w:name w:val="Normal (Web)"/>
    <w:basedOn w:val="1"/>
    <w:qFormat/>
    <w:uiPriority w:val="99"/>
    <w:pPr>
      <w:widowControl/>
      <w:spacing w:beforeAutospacing="1" w:afterAutospacing="1"/>
      <w:jc w:val="left"/>
    </w:pPr>
    <w:rPr>
      <w:rFonts w:ascii="宋体" w:hAnsi="宋体"/>
      <w:kern w:val="0"/>
      <w:sz w:val="24"/>
    </w:rPr>
  </w:style>
  <w:style w:type="paragraph" w:styleId="35">
    <w:name w:val="index 1"/>
    <w:basedOn w:val="1"/>
    <w:next w:val="1"/>
    <w:semiHidden/>
    <w:qFormat/>
    <w:uiPriority w:val="0"/>
    <w:pPr>
      <w:adjustRightInd w:val="0"/>
      <w:spacing w:line="312" w:lineRule="atLeast"/>
      <w:textAlignment w:val="baseline"/>
    </w:pPr>
    <w:rPr>
      <w:kern w:val="0"/>
      <w:sz w:val="30"/>
      <w:szCs w:val="20"/>
    </w:rPr>
  </w:style>
  <w:style w:type="paragraph" w:styleId="36">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37">
    <w:name w:val="annotation subject"/>
    <w:basedOn w:val="13"/>
    <w:next w:val="13"/>
    <w:semiHidden/>
    <w:qFormat/>
    <w:uiPriority w:val="0"/>
    <w:rPr>
      <w:b/>
      <w:bCs/>
    </w:rPr>
  </w:style>
  <w:style w:type="paragraph" w:styleId="38">
    <w:name w:val="Body Text First Indent"/>
    <w:basedOn w:val="15"/>
    <w:link w:val="97"/>
    <w:qFormat/>
    <w:uiPriority w:val="99"/>
    <w:pPr>
      <w:spacing w:before="260" w:after="120" w:line="500" w:lineRule="exact"/>
      <w:ind w:firstLine="420" w:firstLineChars="100"/>
    </w:pPr>
    <w:rPr>
      <w:rFonts w:ascii="Times New Roman" w:eastAsia="宋体"/>
      <w:szCs w:val="24"/>
    </w:rPr>
  </w:style>
  <w:style w:type="paragraph" w:styleId="39">
    <w:name w:val="Body Text First Indent 2"/>
    <w:basedOn w:val="17"/>
    <w:qFormat/>
    <w:uiPriority w:val="0"/>
    <w:pPr>
      <w:widowControl/>
      <w:ind w:left="420" w:leftChars="200" w:firstLine="420" w:firstLineChars="200"/>
      <w:jc w:val="left"/>
    </w:pPr>
    <w:rPr>
      <w:rFonts w:ascii="Calibri" w:hAnsi="Calibri"/>
      <w:szCs w:val="22"/>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basedOn w:val="42"/>
    <w:qFormat/>
    <w:uiPriority w:val="0"/>
    <w:rPr>
      <w:b/>
    </w:rPr>
  </w:style>
  <w:style w:type="character" w:styleId="44">
    <w:name w:val="page number"/>
    <w:basedOn w:val="42"/>
    <w:qFormat/>
    <w:uiPriority w:val="0"/>
  </w:style>
  <w:style w:type="character" w:styleId="45">
    <w:name w:val="FollowedHyperlink"/>
    <w:qFormat/>
    <w:uiPriority w:val="99"/>
    <w:rPr>
      <w:color w:val="800080"/>
      <w:u w:val="single"/>
    </w:rPr>
  </w:style>
  <w:style w:type="character" w:styleId="46">
    <w:name w:val="Emphasis"/>
    <w:qFormat/>
    <w:uiPriority w:val="20"/>
    <w:rPr>
      <w:b/>
    </w:rPr>
  </w:style>
  <w:style w:type="character" w:styleId="47">
    <w:name w:val="Hyperlink"/>
    <w:qFormat/>
    <w:uiPriority w:val="99"/>
    <w:rPr>
      <w:color w:val="0000FF"/>
      <w:u w:val="single"/>
    </w:rPr>
  </w:style>
  <w:style w:type="character" w:styleId="48">
    <w:name w:val="annotation reference"/>
    <w:semiHidden/>
    <w:qFormat/>
    <w:uiPriority w:val="0"/>
    <w:rPr>
      <w:sz w:val="21"/>
      <w:szCs w:val="21"/>
    </w:rPr>
  </w:style>
  <w:style w:type="character" w:customStyle="1" w:styleId="49">
    <w:name w:val="标题 3 字符"/>
    <w:link w:val="4"/>
    <w:qFormat/>
    <w:uiPriority w:val="0"/>
    <w:rPr>
      <w:rFonts w:eastAsia="宋体"/>
      <w:b/>
      <w:bCs/>
      <w:kern w:val="2"/>
      <w:sz w:val="32"/>
      <w:szCs w:val="32"/>
      <w:lang w:val="en-US" w:eastAsia="zh-CN" w:bidi="ar-SA"/>
    </w:rPr>
  </w:style>
  <w:style w:type="character" w:customStyle="1" w:styleId="50">
    <w:name w:val="正文缩进 字符"/>
    <w:link w:val="7"/>
    <w:qFormat/>
    <w:uiPriority w:val="0"/>
    <w:rPr>
      <w:rFonts w:eastAsia="仿宋_GB2312"/>
      <w:kern w:val="2"/>
      <w:sz w:val="24"/>
      <w:szCs w:val="24"/>
      <w:lang w:val="en-US" w:eastAsia="zh-CN" w:bidi="ar-SA"/>
    </w:rPr>
  </w:style>
  <w:style w:type="character" w:customStyle="1" w:styleId="51">
    <w:name w:val="纯文本 字符"/>
    <w:link w:val="20"/>
    <w:qFormat/>
    <w:locked/>
    <w:uiPriority w:val="0"/>
    <w:rPr>
      <w:rFonts w:ascii="宋体" w:hAnsi="Courier New" w:eastAsia="宋体"/>
      <w:kern w:val="2"/>
      <w:sz w:val="21"/>
      <w:lang w:val="en-US" w:eastAsia="zh-CN" w:bidi="ar-SA"/>
    </w:rPr>
  </w:style>
  <w:style w:type="character" w:customStyle="1" w:styleId="52">
    <w:name w:val="页眉 字符"/>
    <w:link w:val="26"/>
    <w:semiHidden/>
    <w:qFormat/>
    <w:locked/>
    <w:uiPriority w:val="0"/>
    <w:rPr>
      <w:rFonts w:eastAsia="宋体"/>
      <w:kern w:val="2"/>
      <w:sz w:val="18"/>
      <w:szCs w:val="18"/>
      <w:lang w:val="en-US" w:eastAsia="zh-CN" w:bidi="ar-SA"/>
    </w:rPr>
  </w:style>
  <w:style w:type="character" w:customStyle="1" w:styleId="53">
    <w:name w:val="Hyperlink.0"/>
    <w:qFormat/>
    <w:uiPriority w:val="99"/>
    <w:rPr>
      <w:rFonts w:ascii="宋体" w:hAnsi="宋体" w:eastAsia="宋体" w:cs="宋体"/>
      <w:color w:val="000000"/>
      <w:lang w:val="en-US"/>
    </w:rPr>
  </w:style>
  <w:style w:type="character" w:customStyle="1" w:styleId="54">
    <w:name w:val="普通文字 Char Char1"/>
    <w:qFormat/>
    <w:locked/>
    <w:uiPriority w:val="0"/>
    <w:rPr>
      <w:rFonts w:ascii="宋体" w:hAnsi="Courier New" w:eastAsia="宋体"/>
      <w:kern w:val="2"/>
      <w:sz w:val="21"/>
      <w:lang w:val="en-US" w:eastAsia="zh-CN" w:bidi="ar-SA"/>
    </w:rPr>
  </w:style>
  <w:style w:type="paragraph" w:customStyle="1" w:styleId="55">
    <w:name w:val="p0"/>
    <w:basedOn w:val="1"/>
    <w:qFormat/>
    <w:uiPriority w:val="0"/>
    <w:pPr>
      <w:spacing w:line="360" w:lineRule="auto"/>
      <w:ind w:firstLine="420" w:firstLineChars="200"/>
    </w:pPr>
    <w:rPr>
      <w:kern w:val="0"/>
      <w:sz w:val="24"/>
    </w:rPr>
  </w:style>
  <w:style w:type="paragraph" w:customStyle="1" w:styleId="56">
    <w:name w:val="Normal_9"/>
    <w:qFormat/>
    <w:uiPriority w:val="0"/>
    <w:pPr>
      <w:spacing w:before="120" w:after="240"/>
      <w:jc w:val="both"/>
    </w:pPr>
    <w:rPr>
      <w:rFonts w:ascii="Calibri" w:hAnsi="Calibri" w:eastAsia="Calibri" w:cs="Times New Roman"/>
      <w:sz w:val="22"/>
      <w:szCs w:val="22"/>
      <w:lang w:val="en-US" w:eastAsia="en-US" w:bidi="ar-SA"/>
    </w:rPr>
  </w:style>
  <w:style w:type="paragraph" w:customStyle="1" w:styleId="57">
    <w:name w:val="xl32"/>
    <w:basedOn w:val="1"/>
    <w:qFormat/>
    <w:uiPriority w:val="0"/>
    <w:pPr>
      <w:widowControl/>
      <w:pBdr>
        <w:left w:val="single" w:color="auto" w:sz="8" w:space="0"/>
        <w:bottom w:val="single" w:color="auto" w:sz="4" w:space="0"/>
        <w:right w:val="single" w:color="auto" w:sz="4" w:space="0"/>
      </w:pBdr>
      <w:spacing w:beforeAutospacing="1" w:afterAutospacing="1"/>
      <w:jc w:val="center"/>
    </w:pPr>
    <w:rPr>
      <w:rFonts w:ascii="宋体" w:hAnsi="宋体"/>
      <w:kern w:val="0"/>
      <w:szCs w:val="21"/>
    </w:rPr>
  </w:style>
  <w:style w:type="paragraph" w:customStyle="1" w:styleId="58">
    <w:name w:val="默认段落字体 Para Char Char Char Char"/>
    <w:basedOn w:val="1"/>
    <w:qFormat/>
    <w:uiPriority w:val="0"/>
    <w:rPr>
      <w:color w:val="000000"/>
      <w:szCs w:val="20"/>
    </w:rPr>
  </w:style>
  <w:style w:type="paragraph" w:customStyle="1" w:styleId="59">
    <w:name w:val="81-正文"/>
    <w:basedOn w:val="1"/>
    <w:qFormat/>
    <w:uiPriority w:val="0"/>
    <w:pPr>
      <w:spacing w:afterLines="50"/>
      <w:ind w:firstLine="480" w:firstLineChars="200"/>
    </w:pPr>
    <w:rPr>
      <w:rFonts w:ascii="宋体" w:hAnsi="宋体"/>
      <w:sz w:val="24"/>
    </w:rPr>
  </w:style>
  <w:style w:type="paragraph" w:customStyle="1" w:styleId="60">
    <w:name w:val="列表1"/>
    <w:basedOn w:val="1"/>
    <w:qFormat/>
    <w:uiPriority w:val="0"/>
    <w:rPr>
      <w:szCs w:val="20"/>
    </w:rPr>
  </w:style>
  <w:style w:type="paragraph" w:customStyle="1" w:styleId="61">
    <w:name w:val="条文"/>
    <w:basedOn w:val="1"/>
    <w:qFormat/>
    <w:uiPriority w:val="0"/>
    <w:pPr>
      <w:spacing w:line="460" w:lineRule="exact"/>
      <w:ind w:right="238"/>
      <w:jc w:val="right"/>
    </w:pPr>
    <w:rPr>
      <w:rFonts w:ascii="Arial" w:hAnsi="Arial" w:eastAsia="黑体" w:cs="Arial"/>
      <w:bCs/>
      <w:color w:val="000000"/>
      <w:sz w:val="24"/>
      <w:szCs w:val="20"/>
    </w:rPr>
  </w:style>
  <w:style w:type="paragraph" w:customStyle="1" w:styleId="62">
    <w:name w:val="_Style 1"/>
    <w:basedOn w:val="1"/>
    <w:qFormat/>
    <w:uiPriority w:val="34"/>
    <w:pPr>
      <w:ind w:firstLine="420" w:firstLineChars="200"/>
    </w:pPr>
  </w:style>
  <w:style w:type="paragraph" w:customStyle="1" w:styleId="63">
    <w:name w:val="列出段落1"/>
    <w:basedOn w:val="1"/>
    <w:qFormat/>
    <w:uiPriority w:val="0"/>
    <w:pPr>
      <w:ind w:firstLine="420" w:firstLineChars="200"/>
    </w:pPr>
  </w:style>
  <w:style w:type="paragraph" w:customStyle="1" w:styleId="64">
    <w:name w:val="Char"/>
    <w:basedOn w:val="1"/>
    <w:qFormat/>
    <w:uiPriority w:val="0"/>
    <w:pPr>
      <w:spacing w:line="360" w:lineRule="auto"/>
      <w:ind w:firstLine="200" w:firstLineChars="200"/>
    </w:pPr>
    <w:rPr>
      <w:rFonts w:ascii="宋体" w:hAnsi="宋体" w:cs="宋体"/>
      <w:sz w:val="24"/>
    </w:rPr>
  </w:style>
  <w:style w:type="paragraph" w:customStyle="1" w:styleId="65">
    <w:name w:val="_Style 61"/>
    <w:semiHidden/>
    <w:qFormat/>
    <w:uiPriority w:val="99"/>
    <w:rPr>
      <w:rFonts w:ascii="Times New Roman" w:hAnsi="Times New Roman" w:eastAsia="宋体" w:cs="Times New Roman"/>
      <w:kern w:val="2"/>
      <w:sz w:val="21"/>
      <w:szCs w:val="24"/>
      <w:lang w:val="en-US" w:eastAsia="zh-CN" w:bidi="ar-SA"/>
    </w:rPr>
  </w:style>
  <w:style w:type="paragraph" w:customStyle="1" w:styleId="66">
    <w:name w:val="表格，五宋"/>
    <w:qFormat/>
    <w:uiPriority w:val="0"/>
    <w:pPr>
      <w:keepNext/>
      <w:widowControl w:val="0"/>
      <w:adjustRightInd w:val="0"/>
      <w:spacing w:line="360" w:lineRule="exact"/>
      <w:jc w:val="both"/>
    </w:pPr>
    <w:rPr>
      <w:rFonts w:ascii="Times New Roman" w:hAnsi="Times New Roman" w:eastAsia="宋体" w:cs="Times New Roman"/>
      <w:sz w:val="21"/>
      <w:lang w:val="en-US" w:eastAsia="zh-CN" w:bidi="ar-SA"/>
    </w:rPr>
  </w:style>
  <w:style w:type="paragraph" w:customStyle="1" w:styleId="6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68">
    <w:name w:val="2"/>
    <w:basedOn w:val="1"/>
    <w:qFormat/>
    <w:uiPriority w:val="0"/>
    <w:pPr>
      <w:adjustRightInd w:val="0"/>
      <w:spacing w:line="420" w:lineRule="atLeast"/>
      <w:ind w:left="1134" w:hanging="227"/>
      <w:textAlignment w:val="baseline"/>
    </w:pPr>
    <w:rPr>
      <w:kern w:val="0"/>
      <w:szCs w:val="20"/>
    </w:rPr>
  </w:style>
  <w:style w:type="paragraph" w:customStyle="1" w:styleId="69">
    <w:name w:val="Char Char Char Char Char Char Char Char Char Char"/>
    <w:basedOn w:val="1"/>
    <w:qFormat/>
    <w:uiPriority w:val="0"/>
    <w:rPr>
      <w:rFonts w:ascii="Arial" w:hAnsi="Arial" w:cs="Arial"/>
      <w:sz w:val="20"/>
      <w:szCs w:val="20"/>
    </w:rPr>
  </w:style>
  <w:style w:type="paragraph" w:customStyle="1" w:styleId="70">
    <w:name w:val="Char Char Char Char Char Char Char Char Char Char1"/>
    <w:basedOn w:val="1"/>
    <w:qFormat/>
    <w:uiPriority w:val="0"/>
    <w:rPr>
      <w:rFonts w:ascii="Arial" w:hAnsi="Arial" w:cs="Arial"/>
      <w:sz w:val="20"/>
      <w:szCs w:val="20"/>
    </w:rPr>
  </w:style>
  <w:style w:type="paragraph" w:customStyle="1" w:styleId="71">
    <w:name w:val="_Style 6"/>
    <w:basedOn w:val="1"/>
    <w:unhideWhenUsed/>
    <w:qFormat/>
    <w:uiPriority w:val="0"/>
    <w:pPr>
      <w:tabs>
        <w:tab w:val="left" w:pos="360"/>
      </w:tabs>
    </w:pPr>
  </w:style>
  <w:style w:type="paragraph" w:customStyle="1" w:styleId="72">
    <w:name w:val="列出段落2"/>
    <w:basedOn w:val="1"/>
    <w:qFormat/>
    <w:uiPriority w:val="34"/>
    <w:pPr>
      <w:ind w:firstLine="420" w:firstLineChars="200"/>
    </w:pPr>
    <w:rPr>
      <w:rFonts w:ascii="Calibri" w:hAnsi="Calibri"/>
      <w:szCs w:val="22"/>
    </w:rPr>
  </w:style>
  <w:style w:type="paragraph" w:customStyle="1" w:styleId="73">
    <w:name w:val="注"/>
    <w:basedOn w:val="7"/>
    <w:qFormat/>
    <w:uiPriority w:val="0"/>
    <w:pPr>
      <w:ind w:firstLine="567" w:firstLineChars="0"/>
    </w:pPr>
    <w:rPr>
      <w:szCs w:val="20"/>
    </w:rPr>
  </w:style>
  <w:style w:type="paragraph" w:customStyle="1" w:styleId="74">
    <w:name w:val="Char1"/>
    <w:basedOn w:val="1"/>
    <w:qFormat/>
    <w:uiPriority w:val="0"/>
    <w:pPr>
      <w:widowControl/>
      <w:spacing w:line="240" w:lineRule="exact"/>
      <w:jc w:val="left"/>
    </w:pPr>
    <w:rPr>
      <w:rFonts w:ascii="Verdana" w:hAnsi="Verdana"/>
      <w:kern w:val="0"/>
      <w:sz w:val="20"/>
      <w:szCs w:val="20"/>
      <w:lang w:eastAsia="en-US"/>
    </w:rPr>
  </w:style>
  <w:style w:type="paragraph" w:customStyle="1" w:styleId="75">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paragraph" w:customStyle="1" w:styleId="76">
    <w:name w:val="正文 A"/>
    <w:qFormat/>
    <w:uiPriority w:val="0"/>
    <w:pPr>
      <w:widowControl w:val="0"/>
      <w:spacing w:line="360" w:lineRule="auto"/>
      <w:ind w:firstLine="1648"/>
      <w:jc w:val="both"/>
    </w:pPr>
    <w:rPr>
      <w:rFonts w:ascii="Times New Roman" w:hAnsi="Times New Roman" w:eastAsia="Times New Roman" w:cs="Times New Roman"/>
      <w:color w:val="000000"/>
      <w:kern w:val="2"/>
      <w:sz w:val="24"/>
      <w:szCs w:val="24"/>
      <w:lang w:val="en-US" w:eastAsia="zh-CN" w:bidi="ar-SA"/>
    </w:rPr>
  </w:style>
  <w:style w:type="paragraph" w:customStyle="1" w:styleId="77">
    <w:name w:val="Char Char Char Char Char Char Char Char Char Char5"/>
    <w:basedOn w:val="1"/>
    <w:qFormat/>
    <w:uiPriority w:val="0"/>
    <w:rPr>
      <w:rFonts w:ascii="Arial" w:hAnsi="Arial" w:cs="Arial"/>
      <w:sz w:val="20"/>
      <w:szCs w:val="20"/>
    </w:rPr>
  </w:style>
  <w:style w:type="paragraph" w:customStyle="1" w:styleId="78">
    <w:name w:val="Char Char Char"/>
    <w:basedOn w:val="1"/>
    <w:qFormat/>
    <w:uiPriority w:val="0"/>
    <w:rPr>
      <w:rFonts w:ascii="宋体" w:hAnsi="宋体"/>
      <w:kern w:val="0"/>
      <w:sz w:val="28"/>
      <w:szCs w:val="28"/>
    </w:rPr>
  </w:style>
  <w:style w:type="paragraph" w:customStyle="1" w:styleId="79">
    <w:name w:val="菲页1"/>
    <w:basedOn w:val="3"/>
    <w:qFormat/>
    <w:uiPriority w:val="0"/>
    <w:pPr>
      <w:widowControl/>
      <w:jc w:val="center"/>
    </w:pPr>
    <w:rPr>
      <w:rFonts w:ascii="黑体" w:hAnsi="宋体"/>
      <w:b w:val="0"/>
      <w:bCs w:val="0"/>
      <w:kern w:val="0"/>
      <w:sz w:val="52"/>
      <w:szCs w:val="20"/>
    </w:rPr>
  </w:style>
  <w:style w:type="paragraph" w:customStyle="1" w:styleId="80">
    <w:name w:val="Char2"/>
    <w:basedOn w:val="1"/>
    <w:qFormat/>
    <w:uiPriority w:val="0"/>
    <w:pPr>
      <w:spacing w:line="360" w:lineRule="auto"/>
      <w:ind w:firstLine="200" w:firstLineChars="200"/>
    </w:pPr>
    <w:rPr>
      <w:rFonts w:ascii="宋体" w:hAnsi="宋体" w:cs="宋体"/>
      <w:sz w:val="24"/>
    </w:rPr>
  </w:style>
  <w:style w:type="paragraph" w:customStyle="1" w:styleId="81">
    <w:name w:val="正文 王"/>
    <w:basedOn w:val="1"/>
    <w:qFormat/>
    <w:uiPriority w:val="0"/>
    <w:pPr>
      <w:adjustRightInd w:val="0"/>
      <w:ind w:firstLine="480" w:firstLineChars="200"/>
    </w:pPr>
    <w:rPr>
      <w:rFonts w:ascii="宋体" w:hAnsi="宋体"/>
      <w:kern w:val="0"/>
      <w:sz w:val="24"/>
    </w:rPr>
  </w:style>
  <w:style w:type="paragraph" w:customStyle="1" w:styleId="82">
    <w:name w:val="p18"/>
    <w:basedOn w:val="1"/>
    <w:qFormat/>
    <w:uiPriority w:val="0"/>
    <w:pPr>
      <w:widowControl/>
    </w:pPr>
    <w:rPr>
      <w:rFonts w:hint="eastAsia" w:ascii="Calibri" w:hAnsi="Calibri"/>
    </w:rPr>
  </w:style>
  <w:style w:type="paragraph" w:customStyle="1" w:styleId="83">
    <w:name w:val="unit_paragraph"/>
    <w:basedOn w:val="1"/>
    <w:qFormat/>
    <w:uiPriority w:val="0"/>
    <w:pPr>
      <w:spacing w:line="480" w:lineRule="atLeast"/>
      <w:ind w:firstLine="420"/>
    </w:pPr>
    <w:rPr>
      <w:rFonts w:hint="eastAsia" w:ascii="宋体" w:hAnsi="宋体"/>
      <w:color w:val="000000"/>
      <w:kern w:val="0"/>
      <w:sz w:val="36"/>
      <w:szCs w:val="36"/>
    </w:rPr>
  </w:style>
  <w:style w:type="paragraph" w:customStyle="1" w:styleId="84">
    <w:name w:val="表名"/>
    <w:basedOn w:val="1"/>
    <w:qFormat/>
    <w:uiPriority w:val="0"/>
    <w:pPr>
      <w:spacing w:line="360" w:lineRule="auto"/>
      <w:jc w:val="left"/>
    </w:pPr>
    <w:rPr>
      <w:b/>
      <w:sz w:val="24"/>
      <w:szCs w:val="20"/>
    </w:rPr>
  </w:style>
  <w:style w:type="paragraph" w:customStyle="1" w:styleId="85">
    <w:name w:val="表头"/>
    <w:basedOn w:val="1"/>
    <w:qFormat/>
    <w:uiPriority w:val="0"/>
    <w:pPr>
      <w:suppressAutoHyphens/>
      <w:autoSpaceDE w:val="0"/>
      <w:spacing w:line="400" w:lineRule="exact"/>
      <w:ind w:firstLine="200" w:firstLineChars="200"/>
      <w:jc w:val="left"/>
    </w:pPr>
    <w:rPr>
      <w:b/>
      <w:bCs/>
      <w:sz w:val="28"/>
      <w:szCs w:val="20"/>
    </w:rPr>
  </w:style>
  <w:style w:type="paragraph" w:customStyle="1" w:styleId="86">
    <w:name w:val="unit_paragraph_title"/>
    <w:basedOn w:val="1"/>
    <w:qFormat/>
    <w:uiPriority w:val="0"/>
    <w:pPr>
      <w:spacing w:line="960" w:lineRule="atLeast"/>
    </w:pPr>
    <w:rPr>
      <w:rFonts w:hint="eastAsia" w:ascii="宋体" w:hAnsi="宋体"/>
      <w:b/>
      <w:color w:val="000000"/>
      <w:kern w:val="0"/>
      <w:sz w:val="36"/>
      <w:szCs w:val="36"/>
    </w:rPr>
  </w:style>
  <w:style w:type="paragraph" w:customStyle="1" w:styleId="87">
    <w:name w:val="沈阳地铁投标表格文字"/>
    <w:basedOn w:val="1"/>
    <w:next w:val="1"/>
    <w:qFormat/>
    <w:uiPriority w:val="0"/>
    <w:pPr>
      <w:spacing w:line="240" w:lineRule="atLeast"/>
      <w:jc w:val="center"/>
    </w:pPr>
    <w:rPr>
      <w:rFonts w:hint="eastAsia" w:ascii="宋体" w:hAnsi="宋体"/>
      <w:bCs/>
      <w:sz w:val="24"/>
    </w:rPr>
  </w:style>
  <w:style w:type="paragraph" w:customStyle="1" w:styleId="88">
    <w:name w:val="表中"/>
    <w:basedOn w:val="1"/>
    <w:qFormat/>
    <w:uiPriority w:val="0"/>
    <w:pPr>
      <w:adjustRightInd w:val="0"/>
      <w:spacing w:line="360" w:lineRule="atLeast"/>
      <w:jc w:val="center"/>
      <w:textAlignment w:val="baseline"/>
    </w:pPr>
    <w:rPr>
      <w:kern w:val="0"/>
      <w:szCs w:val="20"/>
    </w:rPr>
  </w:style>
  <w:style w:type="character" w:customStyle="1" w:styleId="89">
    <w:name w:val="Balloon Text Char1"/>
    <w:qFormat/>
    <w:uiPriority w:val="0"/>
    <w:rPr>
      <w:rFonts w:ascii="Times New Roman" w:hAnsi="Times New Roman"/>
      <w:sz w:val="16"/>
      <w:szCs w:val="0"/>
    </w:rPr>
  </w:style>
  <w:style w:type="paragraph" w:customStyle="1" w:styleId="90">
    <w:name w:val="正文文本1"/>
    <w:basedOn w:val="1"/>
    <w:qFormat/>
    <w:uiPriority w:val="0"/>
    <w:pPr>
      <w:shd w:val="clear" w:color="auto" w:fill="FFFFFF"/>
      <w:spacing w:line="480" w:lineRule="auto"/>
      <w:ind w:firstLine="400"/>
    </w:pPr>
    <w:rPr>
      <w:rFonts w:ascii="黑体" w:hAnsi="黑体" w:eastAsia="黑体" w:cs="黑体"/>
      <w:sz w:val="36"/>
      <w:szCs w:val="36"/>
      <w:lang w:val="zh-CN" w:bidi="zh-CN"/>
    </w:rPr>
  </w:style>
  <w:style w:type="paragraph" w:customStyle="1" w:styleId="91">
    <w:name w:val="font0"/>
    <w:basedOn w:val="1"/>
    <w:qFormat/>
    <w:uiPriority w:val="0"/>
    <w:pPr>
      <w:widowControl/>
      <w:spacing w:beforeAutospacing="1" w:afterAutospacing="1"/>
      <w:jc w:val="left"/>
    </w:pPr>
    <w:rPr>
      <w:rFonts w:hint="eastAsia" w:ascii="宋体" w:hAnsi="宋体"/>
      <w:kern w:val="0"/>
      <w:sz w:val="24"/>
    </w:rPr>
  </w:style>
  <w:style w:type="paragraph" w:customStyle="1" w:styleId="92">
    <w:name w:val="首行缩进"/>
    <w:basedOn w:val="1"/>
    <w:qFormat/>
    <w:uiPriority w:val="0"/>
    <w:pPr>
      <w:ind w:firstLine="480"/>
    </w:pPr>
    <w:rPr>
      <w:rFonts w:ascii="Calibri" w:hAnsi="Calibri"/>
    </w:rPr>
  </w:style>
  <w:style w:type="table" w:customStyle="1" w:styleId="93">
    <w:name w:val="Table Normal"/>
    <w:semiHidden/>
    <w:unhideWhenUsed/>
    <w:qFormat/>
    <w:uiPriority w:val="0"/>
    <w:tblPr>
      <w:tblCellMar>
        <w:top w:w="0" w:type="dxa"/>
        <w:left w:w="0" w:type="dxa"/>
        <w:bottom w:w="0" w:type="dxa"/>
        <w:right w:w="0" w:type="dxa"/>
      </w:tblCellMar>
    </w:tblPr>
  </w:style>
  <w:style w:type="character" w:customStyle="1" w:styleId="94">
    <w:name w:val="font31"/>
    <w:basedOn w:val="42"/>
    <w:qFormat/>
    <w:uiPriority w:val="0"/>
    <w:rPr>
      <w:rFonts w:hint="eastAsia" w:ascii="宋体" w:hAnsi="宋体" w:eastAsia="宋体" w:cs="宋体"/>
      <w:color w:val="000000"/>
      <w:sz w:val="22"/>
      <w:szCs w:val="22"/>
      <w:u w:val="none"/>
    </w:rPr>
  </w:style>
  <w:style w:type="character" w:customStyle="1" w:styleId="95">
    <w:name w:val="font41"/>
    <w:basedOn w:val="42"/>
    <w:qFormat/>
    <w:uiPriority w:val="0"/>
    <w:rPr>
      <w:rFonts w:ascii="微软雅黑" w:hAnsi="微软雅黑" w:eastAsia="微软雅黑" w:cs="微软雅黑"/>
      <w:color w:val="000000"/>
      <w:sz w:val="22"/>
      <w:szCs w:val="22"/>
      <w:u w:val="none"/>
    </w:rPr>
  </w:style>
  <w:style w:type="character" w:customStyle="1" w:styleId="96">
    <w:name w:val="正文文本 字符"/>
    <w:basedOn w:val="42"/>
    <w:link w:val="15"/>
    <w:qFormat/>
    <w:uiPriority w:val="99"/>
    <w:rPr>
      <w:rFonts w:ascii="黑体" w:eastAsia="黑体"/>
      <w:kern w:val="2"/>
      <w:sz w:val="24"/>
    </w:rPr>
  </w:style>
  <w:style w:type="character" w:customStyle="1" w:styleId="97">
    <w:name w:val="正文文本首行缩进 字符"/>
    <w:basedOn w:val="96"/>
    <w:link w:val="38"/>
    <w:qFormat/>
    <w:uiPriority w:val="99"/>
    <w:rPr>
      <w:rFonts w:ascii="黑体" w:eastAsia="黑体"/>
      <w:kern w:val="2"/>
      <w:sz w:val="24"/>
      <w:szCs w:val="24"/>
    </w:rPr>
  </w:style>
  <w:style w:type="paragraph" w:customStyle="1" w:styleId="98">
    <w:name w:val="1"/>
    <w:basedOn w:val="1"/>
    <w:qFormat/>
    <w:uiPriority w:val="0"/>
    <w:pPr>
      <w:spacing w:before="260" w:after="260" w:afterLines="50" w:line="360" w:lineRule="auto"/>
      <w:ind w:firstLine="3243" w:firstLineChars="1080"/>
    </w:pPr>
    <w:rPr>
      <w:rFonts w:ascii="宋体" w:hAnsi="宋体"/>
      <w:b/>
      <w:sz w:val="30"/>
      <w:szCs w:val="21"/>
    </w:rPr>
  </w:style>
  <w:style w:type="paragraph" w:customStyle="1" w:styleId="99">
    <w:name w:val="Normal_21"/>
    <w:qFormat/>
    <w:uiPriority w:val="0"/>
    <w:pPr>
      <w:spacing w:before="120" w:after="240"/>
      <w:jc w:val="both"/>
    </w:pPr>
    <w:rPr>
      <w:rFonts w:ascii="Calibri" w:hAnsi="Calibri" w:eastAsia="Calibri" w:cs="Times New Roman"/>
      <w:sz w:val="22"/>
      <w:szCs w:val="22"/>
      <w:lang w:val="en-US" w:eastAsia="en-US" w:bidi="ar-SA"/>
    </w:rPr>
  </w:style>
  <w:style w:type="paragraph" w:customStyle="1" w:styleId="100">
    <w:name w:val="Normal_24"/>
    <w:qFormat/>
    <w:uiPriority w:val="0"/>
    <w:pPr>
      <w:spacing w:before="120" w:after="240"/>
      <w:jc w:val="both"/>
    </w:pPr>
    <w:rPr>
      <w:rFonts w:ascii="Calibri" w:hAnsi="Calibri" w:eastAsia="Calibri" w:cs="Times New Roman"/>
      <w:sz w:val="22"/>
      <w:szCs w:val="22"/>
      <w:lang w:val="en-US" w:eastAsia="en-US" w:bidi="ar-SA"/>
    </w:rPr>
  </w:style>
  <w:style w:type="character" w:customStyle="1" w:styleId="101">
    <w:name w:val="Char Char3"/>
    <w:qFormat/>
    <w:locked/>
    <w:uiPriority w:val="0"/>
    <w:rPr>
      <w:rFonts w:ascii="Arial" w:hAnsi="Arial" w:eastAsia="黑体"/>
      <w:b/>
      <w:bCs/>
      <w:kern w:val="2"/>
      <w:sz w:val="32"/>
      <w:szCs w:val="32"/>
      <w:lang w:val="en-US" w:eastAsia="zh-CN" w:bidi="ar-SA"/>
    </w:rPr>
  </w:style>
  <w:style w:type="paragraph" w:styleId="102">
    <w:name w:val="List Paragraph"/>
    <w:basedOn w:val="1"/>
    <w:qFormat/>
    <w:uiPriority w:val="34"/>
    <w:pPr>
      <w:spacing w:before="260" w:after="260"/>
      <w:ind w:firstLine="420" w:firstLineChars="200"/>
    </w:pPr>
    <w:rPr>
      <w:rFonts w:ascii="Calibri" w:hAnsi="Calibri"/>
      <w:szCs w:val="22"/>
    </w:rPr>
  </w:style>
  <w:style w:type="paragraph" w:customStyle="1" w:styleId="103">
    <w:name w:val="Normal_34_0"/>
    <w:qFormat/>
    <w:uiPriority w:val="0"/>
    <w:pPr>
      <w:spacing w:before="120" w:after="240"/>
      <w:jc w:val="both"/>
    </w:pPr>
    <w:rPr>
      <w:rFonts w:ascii="Calibri" w:hAnsi="Calibri" w:eastAsia="Calibri" w:cs="Times New Roman"/>
      <w:sz w:val="22"/>
      <w:szCs w:val="22"/>
      <w:lang w:val="en-US" w:eastAsia="en-US" w:bidi="ar-SA"/>
    </w:rPr>
  </w:style>
  <w:style w:type="paragraph" w:customStyle="1" w:styleId="104">
    <w:name w:val="Normal_45_0"/>
    <w:qFormat/>
    <w:uiPriority w:val="0"/>
    <w:pPr>
      <w:spacing w:before="120" w:after="240"/>
      <w:jc w:val="both"/>
    </w:pPr>
    <w:rPr>
      <w:rFonts w:ascii="Calibri" w:hAnsi="Calibri" w:eastAsia="Calibri" w:cs="Times New Roman"/>
      <w:sz w:val="22"/>
      <w:szCs w:val="22"/>
      <w:lang w:val="en-US" w:eastAsia="en-US" w:bidi="ar-SA"/>
    </w:rPr>
  </w:style>
  <w:style w:type="paragraph" w:customStyle="1" w:styleId="105">
    <w:name w:val="Normal_1_1"/>
    <w:qFormat/>
    <w:uiPriority w:val="0"/>
    <w:pPr>
      <w:spacing w:before="120" w:after="240"/>
      <w:jc w:val="both"/>
    </w:pPr>
    <w:rPr>
      <w:rFonts w:ascii="Calibri" w:hAnsi="Calibri" w:eastAsia="Calibri" w:cs="Times New Roman"/>
      <w:sz w:val="22"/>
      <w:szCs w:val="22"/>
      <w:lang w:val="en-US" w:eastAsia="en-US" w:bidi="ar-SA"/>
    </w:rPr>
  </w:style>
  <w:style w:type="paragraph" w:customStyle="1" w:styleId="106">
    <w:name w:val="Normal_35_0"/>
    <w:qFormat/>
    <w:uiPriority w:val="0"/>
    <w:pPr>
      <w:spacing w:before="120" w:after="240"/>
      <w:jc w:val="both"/>
    </w:pPr>
    <w:rPr>
      <w:rFonts w:ascii="Calibri" w:hAnsi="Calibri" w:eastAsia="Calibri" w:cs="Times New Roman"/>
      <w:sz w:val="22"/>
      <w:szCs w:val="22"/>
      <w:lang w:val="en-US" w:eastAsia="en-US" w:bidi="ar-SA"/>
    </w:rPr>
  </w:style>
  <w:style w:type="paragraph" w:customStyle="1" w:styleId="107">
    <w:name w:val="报告正文"/>
    <w:basedOn w:val="1"/>
    <w:qFormat/>
    <w:uiPriority w:val="0"/>
    <w:pPr>
      <w:spacing w:before="260" w:after="260"/>
      <w:ind w:firstLine="560"/>
    </w:pPr>
    <w:rPr>
      <w:rFonts w:cs="宋体"/>
      <w:sz w:val="28"/>
      <w:szCs w:val="20"/>
    </w:rPr>
  </w:style>
  <w:style w:type="paragraph" w:customStyle="1" w:styleId="108">
    <w:name w:val="标题1.1"/>
    <w:basedOn w:val="109"/>
    <w:next w:val="107"/>
    <w:qFormat/>
    <w:uiPriority w:val="0"/>
    <w:pPr>
      <w:jc w:val="left"/>
      <w:outlineLvl w:val="2"/>
    </w:pPr>
    <w:rPr>
      <w:rFonts w:cs="Times New Roman"/>
      <w:b/>
    </w:rPr>
  </w:style>
  <w:style w:type="paragraph" w:customStyle="1" w:styleId="109">
    <w:name w:val="0正文"/>
    <w:basedOn w:val="1"/>
    <w:qFormat/>
    <w:uiPriority w:val="0"/>
    <w:pPr>
      <w:widowControl/>
      <w:spacing w:before="260" w:after="260"/>
    </w:pPr>
    <w:rPr>
      <w:rFonts w:cs="宋体"/>
    </w:rPr>
  </w:style>
  <w:style w:type="paragraph" w:customStyle="1" w:styleId="110">
    <w:name w:val="标题1.1.1"/>
    <w:basedOn w:val="1"/>
    <w:qFormat/>
    <w:uiPriority w:val="0"/>
    <w:pPr>
      <w:spacing w:before="260" w:after="260"/>
      <w:outlineLvl w:val="3"/>
    </w:pPr>
  </w:style>
  <w:style w:type="paragraph" w:customStyle="1" w:styleId="111">
    <w:name w:val="标题1.1.1.1"/>
    <w:basedOn w:val="1"/>
    <w:qFormat/>
    <w:uiPriority w:val="0"/>
    <w:pPr>
      <w:spacing w:before="260" w:after="260"/>
      <w:outlineLvl w:val="4"/>
    </w:pPr>
  </w:style>
  <w:style w:type="paragraph" w:customStyle="1" w:styleId="112">
    <w:name w:val="Chapter 3"/>
    <w:basedOn w:val="4"/>
    <w:qFormat/>
    <w:uiPriority w:val="0"/>
    <w:pPr>
      <w:spacing w:before="100" w:beforeLines="100" w:after="100" w:afterLines="100" w:line="240" w:lineRule="auto"/>
      <w:ind w:left="720" w:hanging="720"/>
    </w:pPr>
    <w:rPr>
      <w:rFonts w:asciiTheme="minorHAnsi" w:hAnsiTheme="minorHAnsi"/>
      <w:bCs w:val="0"/>
      <w:kern w:val="0"/>
      <w:sz w:val="21"/>
      <w:szCs w:val="20"/>
      <w:lang w:val="en-CA"/>
    </w:rPr>
  </w:style>
  <w:style w:type="paragraph" w:customStyle="1" w:styleId="113">
    <w:name w:val="+正文"/>
    <w:basedOn w:val="1"/>
    <w:qFormat/>
    <w:uiPriority w:val="0"/>
    <w:pPr>
      <w:spacing w:before="260" w:after="260"/>
      <w:ind w:firstLine="200"/>
    </w:pPr>
    <w:rPr>
      <w:rFonts w:asciiTheme="minorHAnsi" w:hAnsiTheme="minorHAnsi" w:eastAsiaTheme="minorEastAsia" w:cstheme="minorBidi"/>
      <w:szCs w:val="28"/>
    </w:rPr>
  </w:style>
  <w:style w:type="character" w:customStyle="1" w:styleId="114">
    <w:name w:val="批注框文本 字符"/>
    <w:basedOn w:val="42"/>
    <w:link w:val="24"/>
    <w:qFormat/>
    <w:uiPriority w:val="0"/>
    <w:rPr>
      <w:kern w:val="2"/>
      <w:sz w:val="18"/>
      <w:szCs w:val="18"/>
    </w:rPr>
  </w:style>
  <w:style w:type="character" w:customStyle="1" w:styleId="115">
    <w:name w:val="正文文本 2 字符"/>
    <w:basedOn w:val="42"/>
    <w:link w:val="33"/>
    <w:qFormat/>
    <w:uiPriority w:val="0"/>
    <w:rPr>
      <w:kern w:val="2"/>
      <w:sz w:val="28"/>
      <w:szCs w:val="24"/>
    </w:rPr>
  </w:style>
  <w:style w:type="paragraph" w:customStyle="1" w:styleId="116">
    <w:name w:val="Table Paragraph"/>
    <w:basedOn w:val="1"/>
    <w:qFormat/>
    <w:uiPriority w:val="1"/>
    <w:rPr>
      <w:rFonts w:ascii="宋体" w:hAnsi="宋体" w:cs="宋体"/>
      <w:szCs w:val="20"/>
      <w:lang w:val="zh-CN" w:bidi="zh-CN"/>
    </w:rPr>
  </w:style>
  <w:style w:type="paragraph" w:customStyle="1" w:styleId="117">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1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9">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120">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2">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2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5">
    <w:name w:val="xl68"/>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126">
    <w:name w:val="xl69"/>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127">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63</Pages>
  <Words>12122</Words>
  <Characters>14062</Characters>
  <Lines>1757</Lines>
  <Paragraphs>1540</Paragraphs>
  <TotalTime>87</TotalTime>
  <ScaleCrop>false</ScaleCrop>
  <LinksUpToDate>false</LinksUpToDate>
  <CharactersWithSpaces>24644</CharactersWithSpaces>
  <Application>WPS Office_12.8.2.19831_F1E327BC-269C-435d-A152-05C5408002CA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2023-06-30T06:00:00Z</dcterms:created>
  <dc:creator>1</dc:creator>
  <cp:lastModifiedBy>袁绍海</cp:lastModifiedBy>
  <cp:lastPrinted>2025-08-17T10:20:00Z</cp:lastPrinted>
  <dcterms:modified xsi:type="dcterms:W3CDTF">2026-07-13T08:57:02Z</dcterms:modified>
  <dc:title>a</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2052-12.8.2.19831</vt:lpwstr>
  </property>
  <property fmtid="{D5CDD505-2E9C-101B-9397-08002B2CF9AE}" pid="3" name="ICV">
    <vt:lpwstr>155EAD2903B9469CADBE870C2A3ED836_13</vt:lpwstr>
  </property>
  <property fmtid="{D5CDD505-2E9C-101B-9397-08002B2CF9AE}" pid="4" name="KSOTemplateDocerSaveRecord">
    <vt:lpwstr>eyJoZGlkIjoiMmM3ODc5ZjQwMzYxNWNmMjM0NjA2N2RiNWM2ZjdlYzgiLCJ1c2VySWQiOiIxNjk0NjkxOTE2In0=</vt:lpwstr>
  </property>
</Properties>
</file>