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470"/>
        </w:tabs>
        <w:spacing w:line="360" w:lineRule="auto"/>
        <w:jc w:val="center"/>
        <w:rPr>
          <w:rFonts w:hint="eastAsia" w:ascii="宋体" w:hAnsi="宋体" w:eastAsia="宋体" w:cs="宋体"/>
          <w:b/>
          <w:bCs/>
          <w:szCs w:val="32"/>
        </w:rPr>
      </w:pPr>
      <w:bookmarkStart w:id="0" w:name="OLE_LINK4"/>
      <w:bookmarkStart w:id="1" w:name="OLE_LINK3"/>
      <w:r>
        <w:rPr>
          <w:rFonts w:hint="eastAsia" w:ascii="宋体" w:hAnsi="宋体" w:eastAsia="宋体" w:cs="宋体"/>
          <w:b/>
          <w:bCs/>
          <w:szCs w:val="32"/>
        </w:rPr>
        <w:t>中试水厂迁移</w:t>
      </w:r>
      <w:r>
        <w:rPr>
          <w:rFonts w:ascii="宋体" w:hAnsi="宋体" w:eastAsia="宋体" w:cs="宋体"/>
          <w:b/>
          <w:bCs/>
          <w:szCs w:val="32"/>
        </w:rPr>
        <w:t>方案制定及现场指导技术服务</w:t>
      </w:r>
      <w:bookmarkEnd w:id="0"/>
      <w:r>
        <w:rPr>
          <w:rFonts w:hint="eastAsia" w:ascii="宋体" w:hAnsi="宋体" w:eastAsia="宋体" w:cs="宋体"/>
          <w:b/>
          <w:bCs/>
          <w:szCs w:val="32"/>
        </w:rPr>
        <w:t>询价文件</w:t>
      </w:r>
    </w:p>
    <w:p>
      <w:pPr>
        <w:pStyle w:val="15"/>
        <w:ind w:firstLine="0"/>
        <w:jc w:val="center"/>
        <w:outlineLvl w:val="0"/>
        <w:rPr>
          <w:rFonts w:hint="eastAsia" w:ascii="宋体" w:hAnsi="宋体" w:eastAsia="宋体" w:cs="宋体"/>
          <w:b/>
          <w:bCs/>
          <w:szCs w:val="32"/>
          <w:highlight w:val="none"/>
        </w:rPr>
      </w:pPr>
      <w:bookmarkStart w:id="2" w:name="OLE_LINK5"/>
      <w:r>
        <w:rPr>
          <w:rFonts w:hint="eastAsia" w:asciiTheme="minorHAnsi" w:hAnsiTheme="minorHAnsi" w:eastAsiaTheme="minorEastAsia" w:cstheme="minorBidi"/>
          <w:sz w:val="28"/>
          <w:szCs w:val="28"/>
          <w:highlight w:val="none"/>
        </w:rPr>
        <w:t>采购编号：HB-HYM-F-2026-0009</w:t>
      </w:r>
      <w:bookmarkStart w:id="5" w:name="_GoBack"/>
      <w:bookmarkEnd w:id="5"/>
    </w:p>
    <w:bookmarkEnd w:id="2"/>
    <w:p>
      <w:pPr>
        <w:keepNext w:val="0"/>
        <w:keepLines w:val="0"/>
        <w:pageBreakBefore w:val="0"/>
        <w:widowControl w:val="0"/>
        <w:numPr>
          <w:ilvl w:val="0"/>
          <w:numId w:val="2"/>
        </w:numPr>
        <w:tabs>
          <w:tab w:val="left" w:pos="3470"/>
        </w:tabs>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项目概况</w:t>
      </w:r>
    </w:p>
    <w:p>
      <w:pPr>
        <w:keepNext w:val="0"/>
        <w:keepLines w:val="0"/>
        <w:pageBreakBefore w:val="0"/>
        <w:widowControl w:val="0"/>
        <w:tabs>
          <w:tab w:val="left" w:pos="3470"/>
        </w:tabs>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rPr>
      </w:pPr>
      <w:r>
        <w:rPr>
          <w:rFonts w:hint="eastAsia" w:ascii="宋体" w:hAnsi="宋体" w:eastAsia="宋体" w:cs="宋体"/>
          <w:sz w:val="24"/>
        </w:rPr>
        <w:t>本项目为中试水厂迁移</w:t>
      </w:r>
      <w:r>
        <w:rPr>
          <w:rFonts w:ascii="宋体" w:hAnsi="宋体" w:eastAsia="宋体" w:cs="宋体"/>
          <w:sz w:val="24"/>
        </w:rPr>
        <w:t>方案制定及现场指导技术服务</w:t>
      </w:r>
      <w:r>
        <w:rPr>
          <w:rFonts w:hint="eastAsia" w:ascii="宋体" w:hAnsi="宋体" w:eastAsia="宋体" w:cs="宋体"/>
          <w:sz w:val="24"/>
        </w:rPr>
        <w:t>采购。采购单位为天津市华宇膜技术有限公司。项目已具备采购条件，现通过询价采购方式选择技术服务单位。</w:t>
      </w:r>
    </w:p>
    <w:p>
      <w:pPr>
        <w:keepNext w:val="0"/>
        <w:keepLines w:val="0"/>
        <w:pageBreakBefore w:val="0"/>
        <w:widowControl w:val="0"/>
        <w:numPr>
          <w:ilvl w:val="0"/>
          <w:numId w:val="3"/>
        </w:numPr>
        <w:tabs>
          <w:tab w:val="left" w:pos="3470"/>
        </w:tabs>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询价内容</w:t>
      </w:r>
    </w:p>
    <w:p>
      <w:pPr>
        <w:keepNext w:val="0"/>
        <w:keepLines w:val="0"/>
        <w:pageBreakBefore w:val="0"/>
        <w:widowControl w:val="0"/>
        <w:tabs>
          <w:tab w:val="left" w:pos="3470"/>
        </w:tabs>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rPr>
      </w:pPr>
      <w:r>
        <w:rPr>
          <w:rFonts w:hint="eastAsia" w:ascii="宋体" w:hAnsi="宋体" w:eastAsia="宋体" w:cs="宋体"/>
          <w:sz w:val="24"/>
        </w:rPr>
        <w:t>主要内容为配合甲方技术人员完成中试水厂迁移的方案制定及指导安装调试工作，包括中试系统迁移方案制定、图纸绘制（工艺流程图、平面布置图、3D图）、现场指导安装调试工作等。</w:t>
      </w:r>
    </w:p>
    <w:tbl>
      <w:tblPr>
        <w:tblStyle w:val="13"/>
        <w:tblW w:w="10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310"/>
        <w:gridCol w:w="2673"/>
        <w:gridCol w:w="645"/>
        <w:gridCol w:w="690"/>
        <w:gridCol w:w="1395"/>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序号</w:t>
            </w:r>
          </w:p>
        </w:tc>
        <w:tc>
          <w:tcPr>
            <w:tcW w:w="2310" w:type="dxa"/>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项目名称</w:t>
            </w:r>
          </w:p>
        </w:tc>
        <w:tc>
          <w:tcPr>
            <w:tcW w:w="2673" w:type="dxa"/>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规格</w:t>
            </w:r>
            <w:r>
              <w:rPr>
                <w:rFonts w:hint="eastAsia" w:ascii="宋体" w:hAnsi="宋体" w:eastAsia="宋体" w:cs="宋体"/>
                <w:color w:val="000000"/>
                <w:kern w:val="0"/>
                <w:sz w:val="21"/>
                <w:szCs w:val="21"/>
                <w:lang w:val="en-US" w:eastAsia="zh-CN" w:bidi="ar"/>
              </w:rPr>
              <w:t>参数</w:t>
            </w:r>
          </w:p>
        </w:tc>
        <w:tc>
          <w:tcPr>
            <w:tcW w:w="645" w:type="dxa"/>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单位</w:t>
            </w:r>
          </w:p>
        </w:tc>
        <w:tc>
          <w:tcPr>
            <w:tcW w:w="690" w:type="dxa"/>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数量</w:t>
            </w:r>
          </w:p>
        </w:tc>
        <w:tc>
          <w:tcPr>
            <w:tcW w:w="1395" w:type="dxa"/>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单价（元）</w:t>
            </w:r>
          </w:p>
        </w:tc>
        <w:tc>
          <w:tcPr>
            <w:tcW w:w="1622" w:type="dxa"/>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80" w:type="dxa"/>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p>
        </w:tc>
        <w:tc>
          <w:tcPr>
            <w:tcW w:w="2310" w:type="dxa"/>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方案和图纸绘制</w:t>
            </w:r>
          </w:p>
        </w:tc>
        <w:tc>
          <w:tcPr>
            <w:tcW w:w="2673" w:type="dxa"/>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color w:val="000000"/>
                <w:sz w:val="24"/>
              </w:rPr>
            </w:pPr>
            <w:r>
              <w:rPr>
                <w:rFonts w:hint="eastAsia" w:ascii="宋体" w:hAnsi="宋体" w:cs="宋体"/>
                <w:sz w:val="28"/>
                <w:szCs w:val="28"/>
                <w:vertAlign w:val="subscript"/>
                <w:lang w:val="en-US" w:eastAsia="zh-CN"/>
              </w:rPr>
              <w:t>/</w:t>
            </w:r>
            <w:r>
              <w:rPr>
                <w:rFonts w:hint="eastAsia" w:ascii="宋体" w:hAnsi="宋体" w:cs="宋体"/>
                <w:sz w:val="28"/>
                <w:szCs w:val="28"/>
                <w:vertAlign w:val="subscript"/>
              </w:rPr>
              <w:t xml:space="preserve">                                       </w:t>
            </w:r>
          </w:p>
        </w:tc>
        <w:tc>
          <w:tcPr>
            <w:tcW w:w="645" w:type="dxa"/>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项</w:t>
            </w:r>
          </w:p>
        </w:tc>
        <w:tc>
          <w:tcPr>
            <w:tcW w:w="690" w:type="dxa"/>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p>
        </w:tc>
        <w:tc>
          <w:tcPr>
            <w:tcW w:w="1395" w:type="dxa"/>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宋体" w:hAnsi="宋体" w:eastAsia="宋体" w:cs="宋体"/>
                <w:color w:val="000000"/>
                <w:kern w:val="0"/>
                <w:sz w:val="21"/>
                <w:szCs w:val="21"/>
                <w:lang w:bidi="ar"/>
              </w:rPr>
            </w:pPr>
          </w:p>
        </w:tc>
        <w:tc>
          <w:tcPr>
            <w:tcW w:w="1622" w:type="dxa"/>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宋体" w:hAnsi="宋体" w:eastAsia="宋体" w:cs="宋体"/>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80" w:type="dxa"/>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2310" w:type="dxa"/>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现场指导</w:t>
            </w:r>
          </w:p>
        </w:tc>
        <w:tc>
          <w:tcPr>
            <w:tcW w:w="2673" w:type="dxa"/>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default" w:ascii="宋体" w:hAnsi="宋体" w:cs="宋体"/>
                <w:sz w:val="28"/>
                <w:szCs w:val="28"/>
                <w:vertAlign w:val="subscript"/>
                <w:lang w:val="en-US" w:eastAsia="zh-CN"/>
              </w:rPr>
            </w:pPr>
            <w:r>
              <w:rPr>
                <w:rFonts w:hint="eastAsia" w:ascii="宋体" w:hAnsi="宋体" w:cs="宋体"/>
                <w:sz w:val="28"/>
                <w:szCs w:val="28"/>
                <w:vertAlign w:val="subscript"/>
                <w:lang w:val="en-US" w:eastAsia="zh-CN"/>
              </w:rPr>
              <w:t>/</w:t>
            </w:r>
          </w:p>
        </w:tc>
        <w:tc>
          <w:tcPr>
            <w:tcW w:w="645" w:type="dxa"/>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天</w:t>
            </w:r>
          </w:p>
        </w:tc>
        <w:tc>
          <w:tcPr>
            <w:tcW w:w="690" w:type="dxa"/>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15</w:t>
            </w:r>
          </w:p>
        </w:tc>
        <w:tc>
          <w:tcPr>
            <w:tcW w:w="1395" w:type="dxa"/>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宋体" w:hAnsi="宋体" w:eastAsia="宋体" w:cs="宋体"/>
                <w:color w:val="000000"/>
                <w:kern w:val="0"/>
                <w:sz w:val="21"/>
                <w:szCs w:val="21"/>
                <w:lang w:bidi="ar"/>
              </w:rPr>
            </w:pPr>
          </w:p>
        </w:tc>
        <w:tc>
          <w:tcPr>
            <w:tcW w:w="1622" w:type="dxa"/>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宋体" w:hAnsi="宋体" w:eastAsia="宋体" w:cs="宋体"/>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3090" w:type="dxa"/>
            <w:gridSpan w:val="2"/>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宋体" w:hAnsi="宋体" w:eastAsia="宋体" w:cs="宋体"/>
                <w:color w:val="000000"/>
                <w:kern w:val="0"/>
                <w:sz w:val="21"/>
                <w:szCs w:val="21"/>
                <w:lang w:bidi="ar"/>
              </w:rPr>
            </w:pPr>
            <w:bookmarkStart w:id="3" w:name="OLE_LINK2" w:colFirst="0" w:colLast="3"/>
            <w:r>
              <w:rPr>
                <w:rFonts w:hint="eastAsia" w:ascii="宋体" w:hAnsi="宋体" w:eastAsia="宋体" w:cs="宋体"/>
                <w:color w:val="000000"/>
                <w:kern w:val="0"/>
                <w:sz w:val="21"/>
                <w:szCs w:val="21"/>
                <w:lang w:bidi="ar"/>
              </w:rPr>
              <w:t>合计金额（大写）：</w:t>
            </w:r>
          </w:p>
        </w:tc>
        <w:tc>
          <w:tcPr>
            <w:tcW w:w="4008" w:type="dxa"/>
            <w:gridSpan w:val="3"/>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宋体" w:hAnsi="宋体" w:eastAsia="宋体" w:cs="宋体"/>
                <w:color w:val="000000"/>
                <w:kern w:val="0"/>
                <w:sz w:val="21"/>
                <w:szCs w:val="21"/>
                <w:lang w:bidi="ar"/>
              </w:rPr>
            </w:pPr>
          </w:p>
        </w:tc>
        <w:tc>
          <w:tcPr>
            <w:tcW w:w="1395" w:type="dxa"/>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（小写）：</w:t>
            </w:r>
          </w:p>
        </w:tc>
        <w:tc>
          <w:tcPr>
            <w:tcW w:w="1622" w:type="dxa"/>
            <w:vAlign w:val="center"/>
          </w:tcPr>
          <w:p>
            <w:pPr>
              <w:keepNext w:val="0"/>
              <w:keepLines w:val="0"/>
              <w:pageBreakBefore w:val="0"/>
              <w:widowControl/>
              <w:kinsoku/>
              <w:wordWrap/>
              <w:overflowPunct/>
              <w:topLinePunct w:val="0"/>
              <w:autoSpaceDE/>
              <w:autoSpaceDN/>
              <w:bidi w:val="0"/>
              <w:spacing w:line="40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115" w:type="dxa"/>
            <w:gridSpan w:val="7"/>
            <w:vAlign w:val="center"/>
          </w:tcPr>
          <w:p>
            <w:pPr>
              <w:keepNext w:val="0"/>
              <w:keepLines w:val="0"/>
              <w:pageBreakBefore w:val="0"/>
              <w:widowControl/>
              <w:kinsoku/>
              <w:wordWrap/>
              <w:overflowPunct/>
              <w:topLinePunct w:val="0"/>
              <w:autoSpaceDE/>
              <w:autoSpaceDN/>
              <w:bidi w:val="0"/>
              <w:adjustRightInd w:val="0"/>
              <w:snapToGrid w:val="0"/>
              <w:spacing w:after="160" w:line="400" w:lineRule="exac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注：1、报价包含增值税专用发票。</w:t>
            </w:r>
          </w:p>
        </w:tc>
      </w:tr>
    </w:tbl>
    <w:p>
      <w:pPr>
        <w:keepNext w:val="0"/>
        <w:keepLines w:val="0"/>
        <w:pageBreakBefore w:val="0"/>
        <w:widowControl w:val="0"/>
        <w:tabs>
          <w:tab w:val="left" w:pos="3470"/>
        </w:tabs>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rPr>
      </w:pPr>
      <w:r>
        <w:rPr>
          <w:rFonts w:hint="eastAsia" w:ascii="宋体" w:hAnsi="宋体" w:eastAsia="宋体" w:cs="宋体"/>
          <w:b/>
          <w:bCs/>
          <w:sz w:val="24"/>
        </w:rPr>
        <w:t>三、技术要求</w:t>
      </w:r>
      <w:r>
        <w:rPr>
          <w:rFonts w:hint="eastAsia" w:ascii="宋体" w:hAnsi="宋体" w:eastAsia="宋体" w:cs="宋体"/>
          <w:b/>
          <w:bCs/>
          <w:sz w:val="24"/>
          <w:lang w:eastAsia="zh-CN"/>
        </w:rPr>
        <w:t>：</w:t>
      </w:r>
      <w:r>
        <w:rPr>
          <w:rFonts w:hint="eastAsia" w:ascii="宋体" w:hAnsi="宋体" w:eastAsia="宋体" w:cs="宋体"/>
          <w:sz w:val="24"/>
        </w:rPr>
        <w:t>详见技术文件。</w:t>
      </w:r>
    </w:p>
    <w:p>
      <w:pPr>
        <w:keepNext w:val="0"/>
        <w:keepLines w:val="0"/>
        <w:pageBreakBefore w:val="0"/>
        <w:widowControl w:val="0"/>
        <w:tabs>
          <w:tab w:val="left" w:pos="3470"/>
        </w:tabs>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四、工期要求</w:t>
      </w:r>
    </w:p>
    <w:p>
      <w:pPr>
        <w:keepNext w:val="0"/>
        <w:keepLines w:val="0"/>
        <w:pageBreakBefore w:val="0"/>
        <w:widowControl w:val="0"/>
        <w:tabs>
          <w:tab w:val="left" w:pos="3470"/>
        </w:tabs>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rPr>
      </w:pPr>
      <w:r>
        <w:rPr>
          <w:rFonts w:hint="eastAsia" w:ascii="宋体" w:hAnsi="宋体" w:eastAsia="宋体" w:cs="宋体"/>
          <w:sz w:val="24"/>
        </w:rPr>
        <w:t>1.工期要求：签订合同后5个工作日内完成本项目的方案制定和图纸绘制，现场指导安装按15天</w:t>
      </w:r>
      <w:r>
        <w:rPr>
          <w:rFonts w:hint="eastAsia" w:ascii="宋体" w:hAnsi="宋体" w:eastAsia="宋体" w:cs="宋体"/>
          <w:sz w:val="24"/>
          <w:lang w:eastAsia="zh-CN"/>
        </w:rPr>
        <w:t>（</w:t>
      </w:r>
      <w:r>
        <w:rPr>
          <w:rFonts w:hint="eastAsia" w:ascii="宋体" w:hAnsi="宋体" w:eastAsia="宋体" w:cs="宋体"/>
          <w:sz w:val="24"/>
        </w:rPr>
        <w:t>以实际发生结算</w:t>
      </w:r>
      <w:r>
        <w:rPr>
          <w:rFonts w:hint="eastAsia" w:ascii="宋体" w:hAnsi="宋体" w:eastAsia="宋体" w:cs="宋体"/>
          <w:sz w:val="24"/>
          <w:lang w:eastAsia="zh-CN"/>
        </w:rPr>
        <w:t>）</w:t>
      </w:r>
      <w:r>
        <w:rPr>
          <w:rFonts w:hint="eastAsia" w:ascii="宋体" w:hAnsi="宋体" w:eastAsia="宋体" w:cs="宋体"/>
          <w:sz w:val="24"/>
        </w:rPr>
        <w:t xml:space="preserve">。                        </w:t>
      </w:r>
    </w:p>
    <w:p>
      <w:pPr>
        <w:keepNext w:val="0"/>
        <w:keepLines w:val="0"/>
        <w:pageBreakBefore w:val="0"/>
        <w:widowControl w:val="0"/>
        <w:tabs>
          <w:tab w:val="left" w:pos="3470"/>
        </w:tabs>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rPr>
      </w:pPr>
      <w:r>
        <w:rPr>
          <w:rFonts w:hint="eastAsia" w:ascii="宋体" w:hAnsi="宋体" w:eastAsia="宋体" w:cs="宋体"/>
          <w:sz w:val="24"/>
        </w:rPr>
        <w:t>2.项目地点：天津市。</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rPr>
      </w:pPr>
      <w:r>
        <w:rPr>
          <w:rFonts w:hint="eastAsia" w:ascii="宋体" w:hAnsi="宋体" w:eastAsia="宋体" w:cs="宋体"/>
          <w:b/>
          <w:bCs/>
          <w:sz w:val="24"/>
        </w:rPr>
        <w:t>五、质保期</w:t>
      </w:r>
      <w:r>
        <w:rPr>
          <w:rFonts w:hint="eastAsia" w:ascii="宋体" w:hAnsi="宋体" w:eastAsia="宋体" w:cs="宋体"/>
          <w:b/>
          <w:bCs/>
          <w:sz w:val="24"/>
          <w:lang w:eastAsia="zh-CN"/>
        </w:rPr>
        <w:t>：</w:t>
      </w:r>
      <w:r>
        <w:rPr>
          <w:rFonts w:hint="eastAsia" w:ascii="宋体" w:hAnsi="宋体" w:eastAsia="宋体" w:cs="宋体"/>
          <w:sz w:val="24"/>
        </w:rPr>
        <w:t>项目验收合格之日起2年。</w:t>
      </w:r>
    </w:p>
    <w:p>
      <w:pPr>
        <w:keepNext w:val="0"/>
        <w:keepLines w:val="0"/>
        <w:pageBreakBefore w:val="0"/>
        <w:widowControl w:val="0"/>
        <w:tabs>
          <w:tab w:val="left" w:pos="3470"/>
        </w:tabs>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六、资质要求</w:t>
      </w:r>
    </w:p>
    <w:p>
      <w:pPr>
        <w:keepNext w:val="0"/>
        <w:keepLines w:val="0"/>
        <w:pageBreakBefore w:val="0"/>
        <w:widowControl w:val="0"/>
        <w:tabs>
          <w:tab w:val="left" w:pos="3470"/>
        </w:tabs>
        <w:kinsoku/>
        <w:wordWrap/>
        <w:overflowPunct/>
        <w:topLinePunct w:val="0"/>
        <w:autoSpaceDE/>
        <w:autoSpaceDN/>
        <w:bidi w:val="0"/>
        <w:adjustRightInd/>
        <w:snapToGrid/>
        <w:spacing w:line="380" w:lineRule="exact"/>
        <w:ind w:firstLine="482"/>
        <w:textAlignment w:val="auto"/>
        <w:rPr>
          <w:rFonts w:hint="eastAsia" w:ascii="宋体" w:hAnsi="宋体" w:eastAsia="宋体" w:cs="宋体"/>
          <w:sz w:val="24"/>
        </w:rPr>
      </w:pPr>
      <w:r>
        <w:rPr>
          <w:rFonts w:hint="eastAsia" w:ascii="宋体" w:hAnsi="宋体" w:eastAsia="宋体" w:cs="宋体"/>
          <w:sz w:val="24"/>
        </w:rPr>
        <w:t>（1）具有独立法人资格，具有独立承担民事责任能力；</w:t>
      </w:r>
    </w:p>
    <w:p>
      <w:pPr>
        <w:keepNext w:val="0"/>
        <w:keepLines w:val="0"/>
        <w:pageBreakBefore w:val="0"/>
        <w:widowControl w:val="0"/>
        <w:tabs>
          <w:tab w:val="left" w:pos="3470"/>
        </w:tabs>
        <w:kinsoku/>
        <w:wordWrap/>
        <w:overflowPunct/>
        <w:topLinePunct w:val="0"/>
        <w:autoSpaceDE/>
        <w:autoSpaceDN/>
        <w:bidi w:val="0"/>
        <w:adjustRightInd/>
        <w:snapToGrid/>
        <w:spacing w:line="380" w:lineRule="exact"/>
        <w:ind w:firstLine="482"/>
        <w:textAlignment w:val="auto"/>
        <w:rPr>
          <w:rFonts w:hint="eastAsia" w:ascii="宋体" w:hAnsi="宋体" w:eastAsia="宋体" w:cs="宋体"/>
          <w:sz w:val="24"/>
        </w:rPr>
      </w:pPr>
      <w:r>
        <w:rPr>
          <w:rFonts w:hint="eastAsia" w:ascii="宋体" w:hAnsi="宋体" w:eastAsia="宋体" w:cs="宋体"/>
          <w:sz w:val="24"/>
        </w:rPr>
        <w:t>（2）具有在中华人民共和国境内注册的有效营业执照；</w:t>
      </w:r>
    </w:p>
    <w:p>
      <w:pPr>
        <w:keepNext w:val="0"/>
        <w:keepLines w:val="0"/>
        <w:pageBreakBefore w:val="0"/>
        <w:widowControl w:val="0"/>
        <w:tabs>
          <w:tab w:val="left" w:pos="3470"/>
        </w:tabs>
        <w:kinsoku/>
        <w:wordWrap/>
        <w:overflowPunct/>
        <w:topLinePunct w:val="0"/>
        <w:autoSpaceDE/>
        <w:autoSpaceDN/>
        <w:bidi w:val="0"/>
        <w:adjustRightInd/>
        <w:snapToGrid/>
        <w:spacing w:line="380" w:lineRule="exact"/>
        <w:ind w:firstLine="482"/>
        <w:textAlignment w:val="auto"/>
        <w:rPr>
          <w:rFonts w:hint="eastAsia" w:ascii="宋体" w:hAnsi="宋体" w:eastAsia="宋体" w:cs="宋体"/>
          <w:sz w:val="24"/>
        </w:rPr>
      </w:pPr>
      <w:r>
        <w:rPr>
          <w:rFonts w:hint="eastAsia" w:ascii="宋体" w:hAnsi="宋体" w:eastAsia="宋体" w:cs="宋体"/>
          <w:sz w:val="24"/>
        </w:rPr>
        <w:t>（3）</w:t>
      </w:r>
      <w:r>
        <w:rPr>
          <w:rFonts w:hint="eastAsia" w:asciiTheme="minorEastAsia" w:hAnsiTheme="minorEastAsia" w:eastAsiaTheme="minorEastAsia" w:cstheme="minorEastAsia"/>
          <w:sz w:val="24"/>
        </w:rPr>
        <w:t>报价人</w:t>
      </w:r>
      <w:r>
        <w:rPr>
          <w:rFonts w:asciiTheme="minorEastAsia" w:hAnsiTheme="minorEastAsia" w:eastAsiaTheme="minorEastAsia" w:cstheme="minorEastAsia"/>
          <w:sz w:val="24"/>
        </w:rPr>
        <w:t>应为</w:t>
      </w:r>
      <w:r>
        <w:rPr>
          <w:rFonts w:hint="eastAsia" w:asciiTheme="minorEastAsia" w:hAnsiTheme="minorEastAsia" w:eastAsiaTheme="minorEastAsia" w:cstheme="minorEastAsia"/>
          <w:sz w:val="24"/>
        </w:rPr>
        <w:t>水务集团合格供应商（</w:t>
      </w:r>
      <w:r>
        <w:rPr>
          <w:rFonts w:asciiTheme="minorEastAsia" w:hAnsiTheme="minorEastAsia" w:eastAsiaTheme="minorEastAsia" w:cstheme="minorEastAsia"/>
          <w:sz w:val="24"/>
        </w:rPr>
        <w:t>“津水云采”</w:t>
      </w:r>
      <w:r>
        <w:rPr>
          <w:rFonts w:hint="eastAsia" w:asciiTheme="minorEastAsia" w:hAnsiTheme="minorEastAsia" w:eastAsiaTheme="minorEastAsia" w:cstheme="minorEastAsia"/>
          <w:sz w:val="24"/>
        </w:rPr>
        <w:t>平台</w:t>
      </w:r>
      <w:r>
        <w:rPr>
          <w:rFonts w:asciiTheme="minorEastAsia" w:hAnsiTheme="minorEastAsia" w:eastAsiaTheme="minorEastAsia" w:cstheme="minorEastAsia"/>
          <w:sz w:val="24"/>
        </w:rPr>
        <w:t>注册</w:t>
      </w:r>
      <w:r>
        <w:rPr>
          <w:rFonts w:hint="eastAsia" w:asciiTheme="minorEastAsia" w:hAnsiTheme="minorEastAsia" w:eastAsiaTheme="minorEastAsia" w:cstheme="minorEastAsia"/>
          <w:sz w:val="24"/>
        </w:rPr>
        <w:t>审核通过并购买CA证书且为激活状态的供应商）（合格供应商注册网址：https://www.jinshuiyuncai.com/）。</w:t>
      </w:r>
    </w:p>
    <w:p>
      <w:pPr>
        <w:keepNext w:val="0"/>
        <w:keepLines w:val="0"/>
        <w:pageBreakBefore w:val="0"/>
        <w:widowControl w:val="0"/>
        <w:numPr>
          <w:ilvl w:val="0"/>
          <w:numId w:val="4"/>
        </w:numPr>
        <w:tabs>
          <w:tab w:val="left" w:pos="3470"/>
        </w:tabs>
        <w:kinsoku/>
        <w:wordWrap/>
        <w:overflowPunct/>
        <w:topLinePunct w:val="0"/>
        <w:autoSpaceDE/>
        <w:autoSpaceDN/>
        <w:bidi w:val="0"/>
        <w:adjustRightInd/>
        <w:snapToGrid/>
        <w:spacing w:line="380" w:lineRule="exact"/>
        <w:ind w:firstLine="480"/>
        <w:textAlignment w:val="auto"/>
        <w:rPr>
          <w:rFonts w:hint="eastAsia" w:ascii="宋体" w:hAnsi="宋体" w:eastAsia="宋体" w:cs="宋体"/>
          <w:sz w:val="24"/>
        </w:rPr>
      </w:pPr>
      <w:r>
        <w:rPr>
          <w:rFonts w:hint="eastAsia" w:ascii="宋体" w:hAnsi="宋体" w:eastAsia="宋体" w:cs="宋体"/>
          <w:sz w:val="24"/>
        </w:rPr>
        <w:t>未被列入“信用中国”网站(www.creditchina.gov.cn)等渠道查询信用记录失信被执行人、重大税收违法案件当事人名单、政府采购严重违法失信行为记录名单（提供相关查询结果的网页截图并加盖单位公章）。</w:t>
      </w:r>
    </w:p>
    <w:p>
      <w:pPr>
        <w:pStyle w:val="15"/>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七、采购控制价：6.0万元</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含税价</w:t>
      </w:r>
      <w:r>
        <w:rPr>
          <w:rFonts w:hint="eastAsia" w:ascii="宋体" w:hAnsi="宋体" w:eastAsia="宋体" w:cs="宋体"/>
          <w:b/>
          <w:bCs/>
          <w:sz w:val="24"/>
          <w:szCs w:val="24"/>
          <w:lang w:eastAsia="zh-CN"/>
        </w:rPr>
        <w:t>）</w:t>
      </w:r>
      <w:r>
        <w:rPr>
          <w:rFonts w:hint="eastAsia" w:ascii="宋体" w:hAnsi="宋体" w:eastAsia="宋体" w:cs="宋体"/>
          <w:b/>
          <w:bCs/>
          <w:sz w:val="24"/>
          <w:szCs w:val="24"/>
        </w:rPr>
        <w:t>。</w:t>
      </w:r>
    </w:p>
    <w:p>
      <w:pPr>
        <w:pStyle w:val="15"/>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八、评审方式：</w:t>
      </w:r>
      <w:r>
        <w:rPr>
          <w:rFonts w:hint="eastAsia" w:ascii="宋体" w:hAnsi="宋体" w:eastAsia="宋体" w:cs="宋体"/>
          <w:sz w:val="24"/>
          <w:szCs w:val="24"/>
          <w:u w:val="single"/>
        </w:rPr>
        <w:t>合理低价法</w:t>
      </w:r>
      <w:r>
        <w:rPr>
          <w:rFonts w:hint="eastAsia" w:ascii="宋体" w:hAnsi="宋体" w:eastAsia="宋体" w:cs="宋体"/>
          <w:sz w:val="24"/>
          <w:szCs w:val="24"/>
        </w:rPr>
        <w:t>。</w:t>
      </w:r>
    </w:p>
    <w:p>
      <w:pPr>
        <w:pStyle w:val="15"/>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rPr>
        <w:t>九、付款方式：</w:t>
      </w:r>
      <w:r>
        <w:rPr>
          <w:rFonts w:hint="eastAsia" w:ascii="宋体" w:hAnsi="宋体" w:eastAsia="宋体" w:cs="宋体"/>
          <w:sz w:val="24"/>
          <w:szCs w:val="24"/>
        </w:rPr>
        <w:t>（1）设计服务费：</w:t>
      </w:r>
      <w:r>
        <w:rPr>
          <w:rFonts w:hint="eastAsia" w:asciiTheme="minorEastAsia" w:hAnsiTheme="minorEastAsia" w:eastAsiaTheme="minorEastAsia" w:cstheme="minorEastAsia"/>
          <w:sz w:val="24"/>
          <w:szCs w:val="24"/>
        </w:rPr>
        <w:t>项目验收合格后</w:t>
      </w:r>
      <w:r>
        <w:rPr>
          <w:rFonts w:hint="eastAsia" w:ascii="宋体" w:hAnsi="宋体" w:eastAsia="宋体" w:cs="宋体"/>
          <w:sz w:val="24"/>
          <w:szCs w:val="24"/>
        </w:rPr>
        <w:t>乙方开具增值税专用发票，甲方收到发票后</w:t>
      </w:r>
      <w:r>
        <w:rPr>
          <w:rFonts w:hint="eastAsia" w:asciiTheme="minorEastAsia" w:hAnsiTheme="minorEastAsia" w:eastAsiaTheme="minorEastAsia" w:cstheme="minorEastAsia"/>
          <w:sz w:val="24"/>
          <w:szCs w:val="24"/>
        </w:rPr>
        <w:t>支付合同金额的97％作为验收款，质保期满后支付剩余质保金</w:t>
      </w:r>
      <w:r>
        <w:rPr>
          <w:rFonts w:hint="eastAsia" w:ascii="宋体" w:hAnsi="宋体" w:eastAsia="宋体" w:cs="宋体"/>
          <w:sz w:val="24"/>
          <w:szCs w:val="24"/>
        </w:rPr>
        <w:t>；（2）指导安装调试服务费：中试水厂调试验收合格后，按指导安装调试实际发生天数结算指导安装调试服务费（乙方向甲方开具对应金额的增值税发票）。（具体以</w:t>
      </w:r>
      <w:r>
        <w:rPr>
          <w:rFonts w:hint="eastAsia" w:ascii="宋体" w:hAnsi="宋体" w:eastAsia="宋体" w:cs="宋体"/>
          <w:sz w:val="24"/>
          <w:szCs w:val="24"/>
          <w:highlight w:val="none"/>
        </w:rPr>
        <w:t>合同签订为准）</w:t>
      </w:r>
    </w:p>
    <w:p>
      <w:pPr>
        <w:pStyle w:val="15"/>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highlight w:val="none"/>
        </w:rPr>
      </w:pPr>
      <w:r>
        <w:rPr>
          <w:rFonts w:hint="eastAsia" w:asciiTheme="minorEastAsia" w:hAnsiTheme="minorEastAsia" w:eastAsiaTheme="minorEastAsia" w:cstheme="minorEastAsia"/>
          <w:b/>
          <w:bCs/>
          <w:sz w:val="24"/>
          <w:szCs w:val="24"/>
          <w:highlight w:val="none"/>
        </w:rPr>
        <w:t>十、公告时间：</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29</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09</w:t>
      </w:r>
      <w:r>
        <w:rPr>
          <w:rFonts w:hint="eastAsia" w:ascii="宋体" w:hAnsi="宋体" w:eastAsia="宋体" w:cs="宋体"/>
          <w:sz w:val="24"/>
          <w:szCs w:val="24"/>
          <w:highlight w:val="none"/>
        </w:rPr>
        <w:t>:00至202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日1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:00。</w:t>
      </w:r>
    </w:p>
    <w:p>
      <w:pPr>
        <w:pStyle w:val="15"/>
        <w:keepNext w:val="0"/>
        <w:keepLines w:val="0"/>
        <w:pageBreakBefore w:val="0"/>
        <w:widowControl w:val="0"/>
        <w:kinsoku/>
        <w:wordWrap/>
        <w:overflowPunct/>
        <w:topLinePunct w:val="0"/>
        <w:autoSpaceDE/>
        <w:autoSpaceDN/>
        <w:bidi w:val="0"/>
        <w:adjustRightInd/>
        <w:snapToGrid/>
        <w:spacing w:after="0" w:line="400" w:lineRule="exact"/>
        <w:ind w:firstLine="482" w:firstLineChars="200"/>
        <w:textAlignment w:val="auto"/>
        <w:rPr>
          <w:rFonts w:hint="eastAsia" w:asciiTheme="minorEastAsia" w:hAnsiTheme="minorEastAsia" w:eastAsiaTheme="minorEastAsia" w:cstheme="minorEastAsia"/>
          <w:sz w:val="24"/>
          <w:szCs w:val="24"/>
          <w:highlight w:val="none"/>
        </w:rPr>
      </w:pPr>
      <w:bookmarkStart w:id="4" w:name="OLE_LINK1"/>
      <w:r>
        <w:rPr>
          <w:rFonts w:hint="eastAsia" w:asciiTheme="minorEastAsia" w:hAnsiTheme="minorEastAsia" w:eastAsiaTheme="minorEastAsia" w:cstheme="minorEastAsia"/>
          <w:b/>
          <w:bCs/>
          <w:sz w:val="24"/>
          <w:szCs w:val="24"/>
          <w:highlight w:val="none"/>
        </w:rPr>
        <w:t>十一、报价截止日期：</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日1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:00。</w:t>
      </w:r>
    </w:p>
    <w:p>
      <w:pPr>
        <w:pStyle w:val="15"/>
        <w:keepNext w:val="0"/>
        <w:keepLines w:val="0"/>
        <w:pageBreakBefore w:val="0"/>
        <w:widowControl w:val="0"/>
        <w:kinsoku/>
        <w:wordWrap/>
        <w:overflowPunct/>
        <w:topLinePunct w:val="0"/>
        <w:autoSpaceDE/>
        <w:autoSpaceDN/>
        <w:bidi w:val="0"/>
        <w:adjustRightInd/>
        <w:snapToGrid/>
        <w:spacing w:after="0" w:line="40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十二、开标时间：</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日1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:00</w:t>
      </w:r>
      <w:r>
        <w:rPr>
          <w:rFonts w:hint="eastAsia" w:asciiTheme="minorEastAsia" w:hAnsiTheme="minorEastAsia" w:eastAsiaTheme="minorEastAsia" w:cstheme="minorEastAsia"/>
          <w:sz w:val="24"/>
          <w:szCs w:val="24"/>
          <w:highlight w:val="none"/>
        </w:rPr>
        <w:t>。</w:t>
      </w:r>
    </w:p>
    <w:bookmarkEnd w:id="4"/>
    <w:p>
      <w:pPr>
        <w:pStyle w:val="15"/>
        <w:keepNext w:val="0"/>
        <w:keepLines w:val="0"/>
        <w:pageBreakBefore w:val="0"/>
        <w:widowControl w:val="0"/>
        <w:kinsoku/>
        <w:wordWrap/>
        <w:overflowPunct/>
        <w:topLinePunct w:val="0"/>
        <w:autoSpaceDE/>
        <w:autoSpaceDN/>
        <w:bidi w:val="0"/>
        <w:adjustRightInd/>
        <w:snapToGrid/>
        <w:spacing w:after="0" w:line="400" w:lineRule="exact"/>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十三、技术文件获取方式：</w:t>
      </w:r>
    </w:p>
    <w:p>
      <w:pPr>
        <w:pStyle w:val="1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领取时间：202</w:t>
      </w:r>
      <w:r>
        <w:rPr>
          <w:rFonts w:hint="eastAsia" w:asciiTheme="minorEastAsia" w:hAnsiTheme="minorEastAsia" w:eastAsiaTheme="minorEastAsia" w:cstheme="minorEastAsia"/>
          <w:sz w:val="24"/>
          <w:szCs w:val="24"/>
          <w:highlight w:val="none"/>
          <w:lang w:val="en-US" w:eastAsia="zh-CN"/>
        </w:rPr>
        <w:t>6</w:t>
      </w:r>
      <w:r>
        <w:rPr>
          <w:rFonts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5</w:t>
      </w:r>
      <w:r>
        <w:rPr>
          <w:rFonts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29</w:t>
      </w:r>
      <w:r>
        <w:rPr>
          <w:rFonts w:asciiTheme="minorEastAsia" w:hAnsiTheme="minorEastAsia" w:eastAsiaTheme="minorEastAsia" w:cstheme="minorEastAsia"/>
          <w:sz w:val="24"/>
          <w:szCs w:val="24"/>
          <w:highlight w:val="none"/>
        </w:rPr>
        <w:t>日至202</w:t>
      </w:r>
      <w:r>
        <w:rPr>
          <w:rFonts w:hint="eastAsia" w:asciiTheme="minorEastAsia" w:hAnsiTheme="minorEastAsia" w:eastAsiaTheme="minorEastAsia" w:cstheme="minorEastAsia"/>
          <w:sz w:val="24"/>
          <w:szCs w:val="24"/>
          <w:highlight w:val="none"/>
          <w:lang w:val="en-US" w:eastAsia="zh-CN"/>
        </w:rPr>
        <w:t>6</w:t>
      </w:r>
      <w:r>
        <w:rPr>
          <w:rFonts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6</w:t>
      </w:r>
      <w:r>
        <w:rPr>
          <w:rFonts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w:t>
      </w:r>
      <w:r>
        <w:rPr>
          <w:rFonts w:asciiTheme="minorEastAsia" w:hAnsiTheme="minorEastAsia" w:eastAsiaTheme="minorEastAsia" w:cstheme="minorEastAsia"/>
          <w:sz w:val="24"/>
          <w:szCs w:val="24"/>
          <w:highlight w:val="none"/>
        </w:rPr>
        <w:t>日（北京时间，工作日上午9：00至11：</w:t>
      </w:r>
      <w:r>
        <w:rPr>
          <w:rFonts w:hint="eastAsia" w:asciiTheme="minorEastAsia" w:hAnsiTheme="minorEastAsia" w:eastAsiaTheme="minorEastAsia" w:cstheme="minorEastAsia"/>
          <w:sz w:val="24"/>
          <w:szCs w:val="24"/>
          <w:highlight w:val="none"/>
        </w:rPr>
        <w:t>3</w:t>
      </w:r>
      <w:r>
        <w:rPr>
          <w:rFonts w:asciiTheme="minorEastAsia" w:hAnsiTheme="minorEastAsia" w:eastAsiaTheme="minorEastAsia" w:cstheme="minorEastAsia"/>
          <w:sz w:val="24"/>
          <w:szCs w:val="24"/>
          <w:highlight w:val="none"/>
        </w:rPr>
        <w:t>0，下午14：00至1</w:t>
      </w:r>
      <w:r>
        <w:rPr>
          <w:rFonts w:hint="eastAsia" w:asciiTheme="minorEastAsia" w:hAnsiTheme="minorEastAsia" w:eastAsiaTheme="minorEastAsia" w:cstheme="minorEastAsia"/>
          <w:sz w:val="24"/>
          <w:szCs w:val="24"/>
          <w:highlight w:val="none"/>
        </w:rPr>
        <w:t>7</w:t>
      </w:r>
      <w:r>
        <w:rPr>
          <w:rFonts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rPr>
        <w:t>0</w:t>
      </w:r>
      <w:r>
        <w:rPr>
          <w:rFonts w:asciiTheme="minorEastAsia" w:hAnsiTheme="minorEastAsia" w:eastAsiaTheme="minorEastAsia" w:cstheme="minorEastAsia"/>
          <w:sz w:val="24"/>
          <w:szCs w:val="24"/>
          <w:highlight w:val="none"/>
        </w:rPr>
        <w:t>0）</w:t>
      </w:r>
    </w:p>
    <w:p>
      <w:pPr>
        <w:pStyle w:val="1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领取地点：</w:t>
      </w:r>
      <w:r>
        <w:rPr>
          <w:rFonts w:hint="eastAsia" w:asciiTheme="minorEastAsia" w:hAnsiTheme="minorEastAsia" w:eastAsiaTheme="minorEastAsia" w:cstheme="minorEastAsia"/>
          <w:sz w:val="24"/>
          <w:szCs w:val="24"/>
        </w:rPr>
        <w:t>北辰区西堤头镇刘快庄村新区污水厂办公楼101</w:t>
      </w:r>
      <w:r>
        <w:rPr>
          <w:rFonts w:asciiTheme="minorEastAsia" w:hAnsiTheme="minorEastAsia" w:eastAsiaTheme="minorEastAsia" w:cstheme="minorEastAsia"/>
          <w:sz w:val="24"/>
          <w:szCs w:val="24"/>
        </w:rPr>
        <w:t>室</w:t>
      </w:r>
    </w:p>
    <w:p>
      <w:pPr>
        <w:pStyle w:val="1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领取要求：凡有意向参与投标报名的投标单位，请在规定的时间内按照以下要求领取技术文件：</w:t>
      </w:r>
    </w:p>
    <w:p>
      <w:pPr>
        <w:pStyle w:val="1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（1）持企业营业执照副本（原件、复印件并加盖公章）</w:t>
      </w:r>
    </w:p>
    <w:p>
      <w:pPr>
        <w:pStyle w:val="1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（2）经办人授权委托书及被授权人本人身份证（原件、复印件并加盖公章）</w:t>
      </w:r>
    </w:p>
    <w:p>
      <w:pPr>
        <w:pStyle w:val="15"/>
        <w:keepNext w:val="0"/>
        <w:keepLines w:val="0"/>
        <w:pageBreakBefore w:val="0"/>
        <w:widowControl w:val="0"/>
        <w:kinsoku/>
        <w:wordWrap/>
        <w:overflowPunct/>
        <w:topLinePunct w:val="0"/>
        <w:autoSpaceDE/>
        <w:autoSpaceDN/>
        <w:bidi w:val="0"/>
        <w:adjustRightInd/>
        <w:snapToGrid/>
        <w:spacing w:after="0" w:line="4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十四、报价文件递交方式：</w:t>
      </w:r>
      <w:r>
        <w:rPr>
          <w:rFonts w:hint="eastAsia" w:asciiTheme="minorEastAsia" w:hAnsiTheme="minorEastAsia" w:eastAsiaTheme="minorEastAsia" w:cstheme="minorEastAsia"/>
          <w:sz w:val="24"/>
          <w:szCs w:val="24"/>
        </w:rPr>
        <w:t>报价单位于报价截止时间之前，将报价文件和第六条资质要求的资料加盖公章并密封完整后邮寄至华宇公司。</w:t>
      </w:r>
    </w:p>
    <w:p>
      <w:pPr>
        <w:pStyle w:val="15"/>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（注：投标文件不要装订）</w:t>
      </w:r>
    </w:p>
    <w:p>
      <w:pPr>
        <w:pStyle w:val="15"/>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十五、联系人及地址：</w:t>
      </w:r>
    </w:p>
    <w:p>
      <w:pPr>
        <w:pStyle w:val="15"/>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史工，13512226680</w:t>
      </w:r>
    </w:p>
    <w:p>
      <w:pPr>
        <w:pStyle w:val="15"/>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Theme="minorEastAsia" w:hAnsiTheme="minorEastAsia" w:eastAsiaTheme="minorEastAsia" w:cstheme="minorEastAsia"/>
          <w:sz w:val="24"/>
          <w:szCs w:val="24"/>
        </w:rPr>
        <w:t>联系地址：北辰区西堤头镇刘快庄村新区污水厂（北杨线与津宁高速交口西北侧），只有顺丰和京东可以寄到。</w:t>
      </w:r>
    </w:p>
    <w:p>
      <w:pPr>
        <w:pStyle w:val="15"/>
        <w:keepNext w:val="0"/>
        <w:keepLines w:val="0"/>
        <w:pageBreakBefore w:val="0"/>
        <w:widowControl w:val="0"/>
        <w:kinsoku/>
        <w:wordWrap/>
        <w:overflowPunct/>
        <w:topLinePunct w:val="0"/>
        <w:autoSpaceDE/>
        <w:autoSpaceDN/>
        <w:bidi w:val="0"/>
        <w:adjustRightInd/>
        <w:snapToGrid/>
        <w:spacing w:line="38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天津市华宇膜技术有限公司</w:t>
      </w:r>
    </w:p>
    <w:bookmarkEnd w:id="1"/>
    <w:p>
      <w:pPr>
        <w:pStyle w:val="15"/>
        <w:keepNext w:val="0"/>
        <w:keepLines w:val="0"/>
        <w:pageBreakBefore w:val="0"/>
        <w:widowControl w:val="0"/>
        <w:kinsoku/>
        <w:wordWrap/>
        <w:overflowPunct/>
        <w:topLinePunct w:val="0"/>
        <w:autoSpaceDE/>
        <w:autoSpaceDN/>
        <w:bidi w:val="0"/>
        <w:adjustRightInd/>
        <w:snapToGrid/>
        <w:spacing w:line="380" w:lineRule="exact"/>
        <w:ind w:firstLine="480" w:firstLineChars="200"/>
        <w:jc w:val="right"/>
        <w:textAlignment w:val="auto"/>
        <w:rPr>
          <w:rFonts w:hint="eastAsia" w:ascii="仿宋" w:hAnsi="仿宋" w:eastAsia="仿宋" w:cs="仿宋_GB2312"/>
          <w:color w:val="FF0000"/>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29</w:t>
      </w:r>
      <w:r>
        <w:rPr>
          <w:rFonts w:hint="eastAsia" w:ascii="宋体" w:hAnsi="宋体" w:eastAsia="宋体" w:cs="宋体"/>
          <w:sz w:val="24"/>
          <w:szCs w:val="24"/>
          <w:highlight w:val="none"/>
        </w:rPr>
        <w:t>日</w:t>
      </w:r>
    </w:p>
    <w:sectPr>
      <w:footerReference r:id="rId3" w:type="default"/>
      <w:pgSz w:w="11906" w:h="16838"/>
      <w:pgMar w:top="1440" w:right="1800" w:bottom="1440" w:left="1800" w:header="850"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5691962"/>
    </w:sdtPr>
    <w:sdtContent>
      <w:p>
        <w:pPr>
          <w:pStyle w:val="9"/>
          <w:jc w:val="center"/>
        </w:pPr>
        <w:r>
          <w:fldChar w:fldCharType="begin"/>
        </w:r>
        <w:r>
          <w:instrText xml:space="preserve">PAGE   \* MERGEFORMAT</w:instrText>
        </w:r>
        <w:r>
          <w:fldChar w:fldCharType="separate"/>
        </w:r>
        <w:r>
          <w:rPr>
            <w:lang w:val="zh-CN"/>
          </w:rPr>
          <w:t>3</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D7845F"/>
    <w:multiLevelType w:val="singleLevel"/>
    <w:tmpl w:val="9CD7845F"/>
    <w:lvl w:ilvl="0" w:tentative="0">
      <w:start w:val="4"/>
      <w:numFmt w:val="decimal"/>
      <w:suff w:val="nothing"/>
      <w:lvlText w:val="（%1）"/>
      <w:lvlJc w:val="left"/>
    </w:lvl>
  </w:abstractNum>
  <w:abstractNum w:abstractNumId="1">
    <w:nsid w:val="5A1A3694"/>
    <w:multiLevelType w:val="singleLevel"/>
    <w:tmpl w:val="5A1A3694"/>
    <w:lvl w:ilvl="0" w:tentative="0">
      <w:start w:val="2"/>
      <w:numFmt w:val="chineseCounting"/>
      <w:suff w:val="nothing"/>
      <w:lvlText w:val="%1、"/>
      <w:lvlJc w:val="left"/>
      <w:rPr>
        <w:rFonts w:hint="eastAsia"/>
      </w:rPr>
    </w:lvl>
  </w:abstractNum>
  <w:abstractNum w:abstractNumId="2">
    <w:nsid w:val="5DD4410F"/>
    <w:multiLevelType w:val="singleLevel"/>
    <w:tmpl w:val="5DD4410F"/>
    <w:lvl w:ilvl="0" w:tentative="0">
      <w:start w:val="1"/>
      <w:numFmt w:val="chineseCounting"/>
      <w:suff w:val="nothing"/>
      <w:lvlText w:val="%1、"/>
      <w:lvlJc w:val="left"/>
      <w:rPr>
        <w:rFonts w:hint="eastAsia"/>
      </w:rPr>
    </w:lvl>
  </w:abstractNum>
  <w:abstractNum w:abstractNumId="3">
    <w:nsid w:val="63592A83"/>
    <w:multiLevelType w:val="multilevel"/>
    <w:tmpl w:val="63592A83"/>
    <w:lvl w:ilvl="0" w:tentative="0">
      <w:start w:val="1"/>
      <w:numFmt w:val="decimal"/>
      <w:lvlText w:val="第%1章"/>
      <w:lvlJc w:val="left"/>
      <w:pPr>
        <w:tabs>
          <w:tab w:val="left" w:pos="432"/>
        </w:tabs>
        <w:ind w:left="432" w:hanging="432"/>
      </w:pPr>
      <w:rPr>
        <w:rFonts w:hint="eastAsia"/>
        <w:b/>
        <w:i w:val="0"/>
      </w:rPr>
    </w:lvl>
    <w:lvl w:ilvl="1" w:tentative="0">
      <w:start w:val="1"/>
      <w:numFmt w:val="decimal"/>
      <w:lvlText w:val="%1.%2"/>
      <w:lvlJc w:val="left"/>
      <w:pPr>
        <w:tabs>
          <w:tab w:val="left" w:pos="576"/>
        </w:tabs>
        <w:ind w:left="576" w:hanging="576"/>
      </w:pPr>
      <w:rPr>
        <w:rFonts w:hint="eastAsia"/>
        <w:b/>
        <w:i w:val="0"/>
      </w:rPr>
    </w:lvl>
    <w:lvl w:ilvl="2" w:tentative="0">
      <w:start w:val="1"/>
      <w:numFmt w:val="decimal"/>
      <w:lvlText w:val="%1.%2.%3"/>
      <w:lvlJc w:val="left"/>
      <w:pPr>
        <w:tabs>
          <w:tab w:val="left" w:pos="720"/>
        </w:tabs>
        <w:ind w:left="720" w:hanging="720"/>
      </w:pPr>
      <w:rPr>
        <w:rFonts w:hint="default" w:ascii="Times New Roman" w:hAnsi="Times New Roman" w:cs="Times New Roman"/>
      </w:rPr>
    </w:lvl>
    <w:lvl w:ilvl="3" w:tentative="0">
      <w:start w:val="1"/>
      <w:numFmt w:val="decimal"/>
      <w:pStyle w:val="4"/>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liNDQxOWE5NDBjNzdiNzRhYWM3NGUzNjFlZTFmN2MifQ=="/>
  </w:docVars>
  <w:rsids>
    <w:rsidRoot w:val="00172A27"/>
    <w:rsid w:val="000033C1"/>
    <w:rsid w:val="000A7C84"/>
    <w:rsid w:val="001013A5"/>
    <w:rsid w:val="00102544"/>
    <w:rsid w:val="00131EC3"/>
    <w:rsid w:val="00172A27"/>
    <w:rsid w:val="00196BD2"/>
    <w:rsid w:val="0026542F"/>
    <w:rsid w:val="002C30A5"/>
    <w:rsid w:val="00341995"/>
    <w:rsid w:val="00450926"/>
    <w:rsid w:val="0046253D"/>
    <w:rsid w:val="004635A5"/>
    <w:rsid w:val="0049256A"/>
    <w:rsid w:val="00565907"/>
    <w:rsid w:val="005A07CA"/>
    <w:rsid w:val="005A3118"/>
    <w:rsid w:val="005B3EA0"/>
    <w:rsid w:val="00681673"/>
    <w:rsid w:val="006A2C52"/>
    <w:rsid w:val="006E1065"/>
    <w:rsid w:val="00746A5D"/>
    <w:rsid w:val="007863DE"/>
    <w:rsid w:val="007C4052"/>
    <w:rsid w:val="007E4D25"/>
    <w:rsid w:val="007F26F9"/>
    <w:rsid w:val="008E5816"/>
    <w:rsid w:val="008F733A"/>
    <w:rsid w:val="00992D92"/>
    <w:rsid w:val="00A06D92"/>
    <w:rsid w:val="00A364B9"/>
    <w:rsid w:val="00A77BF8"/>
    <w:rsid w:val="00B37C9D"/>
    <w:rsid w:val="00B6085A"/>
    <w:rsid w:val="00C37B39"/>
    <w:rsid w:val="00C42B0A"/>
    <w:rsid w:val="00DA3488"/>
    <w:rsid w:val="00E22A93"/>
    <w:rsid w:val="00EA57B7"/>
    <w:rsid w:val="00ED7201"/>
    <w:rsid w:val="00F20F5B"/>
    <w:rsid w:val="00F5696D"/>
    <w:rsid w:val="00F91A73"/>
    <w:rsid w:val="00FD280A"/>
    <w:rsid w:val="014F77E4"/>
    <w:rsid w:val="01B349C2"/>
    <w:rsid w:val="01E85E58"/>
    <w:rsid w:val="021900CE"/>
    <w:rsid w:val="06E32C87"/>
    <w:rsid w:val="07B4472D"/>
    <w:rsid w:val="08145B13"/>
    <w:rsid w:val="0878022B"/>
    <w:rsid w:val="089112ED"/>
    <w:rsid w:val="0AF44832"/>
    <w:rsid w:val="0C0E48AF"/>
    <w:rsid w:val="0CD16793"/>
    <w:rsid w:val="0D477548"/>
    <w:rsid w:val="0D860E1F"/>
    <w:rsid w:val="0D944C72"/>
    <w:rsid w:val="0DD26F37"/>
    <w:rsid w:val="0DE54F90"/>
    <w:rsid w:val="0F617E17"/>
    <w:rsid w:val="0F8F190A"/>
    <w:rsid w:val="10776745"/>
    <w:rsid w:val="10B27A67"/>
    <w:rsid w:val="111B4C3D"/>
    <w:rsid w:val="11343CC6"/>
    <w:rsid w:val="11D32EC4"/>
    <w:rsid w:val="12343BBB"/>
    <w:rsid w:val="1376248F"/>
    <w:rsid w:val="13764158"/>
    <w:rsid w:val="13B65B30"/>
    <w:rsid w:val="13CF716E"/>
    <w:rsid w:val="145F3625"/>
    <w:rsid w:val="14BA11C1"/>
    <w:rsid w:val="15182A75"/>
    <w:rsid w:val="15614D40"/>
    <w:rsid w:val="169C23B7"/>
    <w:rsid w:val="185D397F"/>
    <w:rsid w:val="1A6A7FF9"/>
    <w:rsid w:val="1A813EF2"/>
    <w:rsid w:val="1AAA1BDE"/>
    <w:rsid w:val="1CC421E0"/>
    <w:rsid w:val="1D6E4811"/>
    <w:rsid w:val="1E640FD5"/>
    <w:rsid w:val="1F961509"/>
    <w:rsid w:val="202820DF"/>
    <w:rsid w:val="20983AB7"/>
    <w:rsid w:val="20CC5CAA"/>
    <w:rsid w:val="215A65FD"/>
    <w:rsid w:val="225418B2"/>
    <w:rsid w:val="22DB3422"/>
    <w:rsid w:val="23B3710F"/>
    <w:rsid w:val="23BE3AB3"/>
    <w:rsid w:val="23C82FC2"/>
    <w:rsid w:val="24C43D92"/>
    <w:rsid w:val="276875C1"/>
    <w:rsid w:val="2771361D"/>
    <w:rsid w:val="288E41D1"/>
    <w:rsid w:val="2B5C3A0D"/>
    <w:rsid w:val="2CD31625"/>
    <w:rsid w:val="2CE50894"/>
    <w:rsid w:val="2D6C70BB"/>
    <w:rsid w:val="2E013D1E"/>
    <w:rsid w:val="2F993EED"/>
    <w:rsid w:val="303D3E3C"/>
    <w:rsid w:val="30AB06A1"/>
    <w:rsid w:val="30DF2653"/>
    <w:rsid w:val="30E946C0"/>
    <w:rsid w:val="33E800AC"/>
    <w:rsid w:val="34547BBD"/>
    <w:rsid w:val="3471526E"/>
    <w:rsid w:val="35223AE2"/>
    <w:rsid w:val="352944D8"/>
    <w:rsid w:val="36062D86"/>
    <w:rsid w:val="36B25B77"/>
    <w:rsid w:val="378253AB"/>
    <w:rsid w:val="38C80E1C"/>
    <w:rsid w:val="392C0D5C"/>
    <w:rsid w:val="39736B31"/>
    <w:rsid w:val="3B143534"/>
    <w:rsid w:val="3B8D00E1"/>
    <w:rsid w:val="3B9D78F1"/>
    <w:rsid w:val="3BC17486"/>
    <w:rsid w:val="3E6B34B8"/>
    <w:rsid w:val="3F316A74"/>
    <w:rsid w:val="3FA41B6C"/>
    <w:rsid w:val="3FCE67BD"/>
    <w:rsid w:val="40886F59"/>
    <w:rsid w:val="408D4B0B"/>
    <w:rsid w:val="40F77350"/>
    <w:rsid w:val="41A53138"/>
    <w:rsid w:val="42FF2691"/>
    <w:rsid w:val="433C6637"/>
    <w:rsid w:val="4409504D"/>
    <w:rsid w:val="444348BE"/>
    <w:rsid w:val="458F73AC"/>
    <w:rsid w:val="47D90BAE"/>
    <w:rsid w:val="48B55ADE"/>
    <w:rsid w:val="4964288D"/>
    <w:rsid w:val="4A590F64"/>
    <w:rsid w:val="4B6A0C4B"/>
    <w:rsid w:val="4C4D70AF"/>
    <w:rsid w:val="4CA34A78"/>
    <w:rsid w:val="4CFD018A"/>
    <w:rsid w:val="4DF071A9"/>
    <w:rsid w:val="4F1E452A"/>
    <w:rsid w:val="4F2913E1"/>
    <w:rsid w:val="4F5171D8"/>
    <w:rsid w:val="505B1C28"/>
    <w:rsid w:val="505D1BB5"/>
    <w:rsid w:val="50891AC6"/>
    <w:rsid w:val="521D27A3"/>
    <w:rsid w:val="52755F29"/>
    <w:rsid w:val="52BC29D7"/>
    <w:rsid w:val="56C763D2"/>
    <w:rsid w:val="572E58F3"/>
    <w:rsid w:val="59371E86"/>
    <w:rsid w:val="59BC53B4"/>
    <w:rsid w:val="5BFF16C3"/>
    <w:rsid w:val="5C1E2FF1"/>
    <w:rsid w:val="5C493377"/>
    <w:rsid w:val="5D1F7DEB"/>
    <w:rsid w:val="5D9327D1"/>
    <w:rsid w:val="5E6555B7"/>
    <w:rsid w:val="5E78119D"/>
    <w:rsid w:val="5E9C4155"/>
    <w:rsid w:val="608A0D39"/>
    <w:rsid w:val="61D76EE6"/>
    <w:rsid w:val="61E02A70"/>
    <w:rsid w:val="637569B7"/>
    <w:rsid w:val="64022D4B"/>
    <w:rsid w:val="64446F0A"/>
    <w:rsid w:val="646F3406"/>
    <w:rsid w:val="64CA008D"/>
    <w:rsid w:val="64E176EB"/>
    <w:rsid w:val="65521D1B"/>
    <w:rsid w:val="65DF4BBD"/>
    <w:rsid w:val="6664789E"/>
    <w:rsid w:val="66DD4C6A"/>
    <w:rsid w:val="67423C84"/>
    <w:rsid w:val="68726E46"/>
    <w:rsid w:val="68D63BDE"/>
    <w:rsid w:val="69342206"/>
    <w:rsid w:val="69CD1982"/>
    <w:rsid w:val="6BB227E7"/>
    <w:rsid w:val="6C531511"/>
    <w:rsid w:val="6E662D3C"/>
    <w:rsid w:val="70CB495C"/>
    <w:rsid w:val="70DB6604"/>
    <w:rsid w:val="710672AD"/>
    <w:rsid w:val="72A76660"/>
    <w:rsid w:val="74EB03F4"/>
    <w:rsid w:val="74FF6AAF"/>
    <w:rsid w:val="75FD4147"/>
    <w:rsid w:val="76CE2270"/>
    <w:rsid w:val="76E81034"/>
    <w:rsid w:val="76EE465E"/>
    <w:rsid w:val="77153948"/>
    <w:rsid w:val="774E3C84"/>
    <w:rsid w:val="77B84C6C"/>
    <w:rsid w:val="7B506695"/>
    <w:rsid w:val="7C691511"/>
    <w:rsid w:val="7C896BD7"/>
    <w:rsid w:val="7D017195"/>
    <w:rsid w:val="7D402DFC"/>
    <w:rsid w:val="7D86752B"/>
    <w:rsid w:val="7DE0147B"/>
    <w:rsid w:val="7DE20140"/>
    <w:rsid w:val="7E831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560" w:lineRule="exact"/>
      <w:jc w:val="both"/>
    </w:pPr>
    <w:rPr>
      <w:rFonts w:ascii="Calibri" w:hAnsi="Calibri" w:eastAsia="仿宋_GB2312" w:cs="Times New Roman"/>
      <w:kern w:val="2"/>
      <w:sz w:val="32"/>
      <w:szCs w:val="24"/>
      <w:lang w:val="en-US" w:eastAsia="zh-CN" w:bidi="ar-SA"/>
    </w:rPr>
  </w:style>
  <w:style w:type="paragraph" w:styleId="4">
    <w:name w:val="heading 4"/>
    <w:basedOn w:val="1"/>
    <w:next w:val="1"/>
    <w:qFormat/>
    <w:uiPriority w:val="9"/>
    <w:pPr>
      <w:keepNext/>
      <w:keepLines/>
      <w:numPr>
        <w:ilvl w:val="3"/>
        <w:numId w:val="1"/>
      </w:numPr>
      <w:spacing w:line="360" w:lineRule="auto"/>
      <w:jc w:val="left"/>
      <w:outlineLvl w:val="3"/>
    </w:pPr>
    <w:rPr>
      <w:rFonts w:eastAsia="黑体"/>
      <w:b/>
      <w:bCs/>
      <w:sz w:val="28"/>
      <w:szCs w:val="28"/>
    </w:rPr>
  </w:style>
  <w:style w:type="paragraph" w:styleId="5">
    <w:name w:val="heading 5"/>
    <w:basedOn w:val="1"/>
    <w:next w:val="1"/>
    <w:unhideWhenUsed/>
    <w:qFormat/>
    <w:uiPriority w:val="9"/>
    <w:pPr>
      <w:keepNext/>
      <w:keepLines/>
      <w:spacing w:before="280" w:after="290" w:line="372" w:lineRule="auto"/>
      <w:outlineLvl w:val="4"/>
    </w:pPr>
    <w:rPr>
      <w:b/>
      <w:sz w:val="28"/>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unhideWhenUsed/>
    <w:qFormat/>
    <w:uiPriority w:val="1"/>
    <w:pPr>
      <w:spacing w:after="120"/>
    </w:pPr>
  </w:style>
  <w:style w:type="paragraph" w:styleId="6">
    <w:name w:val="Normal Indent"/>
    <w:basedOn w:val="1"/>
    <w:qFormat/>
    <w:uiPriority w:val="0"/>
    <w:pPr>
      <w:ind w:firstLine="420"/>
    </w:pPr>
  </w:style>
  <w:style w:type="paragraph" w:styleId="7">
    <w:name w:val="annotation text"/>
    <w:basedOn w:val="1"/>
    <w:qFormat/>
    <w:uiPriority w:val="0"/>
    <w:pPr>
      <w:jc w:val="left"/>
    </w:pPr>
  </w:style>
  <w:style w:type="paragraph" w:styleId="8">
    <w:name w:val="Body Text Indent"/>
    <w:basedOn w:val="1"/>
    <w:unhideWhenUsed/>
    <w:qFormat/>
    <w:uiPriority w:val="99"/>
    <w:pPr>
      <w:ind w:firstLine="570"/>
    </w:pPr>
    <w:rPr>
      <w:rFonts w:ascii="宋体" w:eastAsia="宋体"/>
      <w:sz w:val="28"/>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Normal (Web)"/>
    <w:basedOn w:val="1"/>
    <w:qFormat/>
    <w:uiPriority w:val="0"/>
    <w:pPr>
      <w:spacing w:beforeAutospacing="1" w:afterAutospacing="1"/>
      <w:jc w:val="left"/>
    </w:pPr>
    <w:rPr>
      <w:kern w:val="0"/>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缩进）"/>
    <w:basedOn w:val="1"/>
    <w:qFormat/>
    <w:uiPriority w:val="0"/>
    <w:pPr>
      <w:spacing w:line="520" w:lineRule="exact"/>
      <w:ind w:firstLine="640"/>
    </w:pPr>
    <w:rPr>
      <w:szCs w:val="21"/>
    </w:rPr>
  </w:style>
  <w:style w:type="paragraph" w:customStyle="1" w:styleId="16">
    <w:name w:val="首行缩进"/>
    <w:basedOn w:val="1"/>
    <w:qFormat/>
    <w:uiPriority w:val="0"/>
    <w:pPr>
      <w:ind w:firstLine="480" w:firstLineChars="200"/>
    </w:pPr>
    <w:rPr>
      <w:rFonts w:ascii="Times New Roman" w:hAnsi="Times New Roman"/>
      <w:szCs w:val="20"/>
      <w:lang w:val="zh-CN"/>
    </w:rPr>
  </w:style>
  <w:style w:type="paragraph" w:customStyle="1" w:styleId="17">
    <w:name w:val="Default"/>
    <w:qFormat/>
    <w:uiPriority w:val="0"/>
    <w:pPr>
      <w:widowControl w:val="0"/>
      <w:autoSpaceDE w:val="0"/>
      <w:autoSpaceDN w:val="0"/>
      <w:adjustRightInd w:val="0"/>
      <w:spacing w:after="160" w:line="278" w:lineRule="auto"/>
    </w:pPr>
    <w:rPr>
      <w:rFonts w:ascii="黑体" w:hAnsi="Times New Roman" w:eastAsia="黑体" w:cs="黑体"/>
      <w:color w:val="000000"/>
      <w:sz w:val="24"/>
      <w:szCs w:val="24"/>
      <w:lang w:val="en-US" w:eastAsia="zh-CN" w:bidi="ar-SA"/>
    </w:rPr>
  </w:style>
  <w:style w:type="character" w:customStyle="1" w:styleId="18">
    <w:name w:val="font41"/>
    <w:basedOn w:val="14"/>
    <w:qFormat/>
    <w:uiPriority w:val="0"/>
    <w:rPr>
      <w:rFonts w:hint="eastAsia" w:ascii="宋体" w:hAnsi="宋体" w:eastAsia="宋体" w:cs="宋体"/>
      <w:color w:val="000000"/>
      <w:sz w:val="20"/>
      <w:szCs w:val="20"/>
      <w:u w:val="none"/>
    </w:rPr>
  </w:style>
  <w:style w:type="character" w:customStyle="1" w:styleId="19">
    <w:name w:val="font31"/>
    <w:basedOn w:val="14"/>
    <w:qFormat/>
    <w:uiPriority w:val="0"/>
    <w:rPr>
      <w:rFonts w:hint="eastAsia" w:ascii="宋体" w:hAnsi="宋体" w:eastAsia="宋体" w:cs="宋体"/>
      <w:color w:val="000000"/>
      <w:sz w:val="20"/>
      <w:szCs w:val="20"/>
      <w:u w:val="none"/>
      <w:vertAlign w:val="superscript"/>
    </w:rPr>
  </w:style>
  <w:style w:type="character" w:customStyle="1" w:styleId="20">
    <w:name w:val="font21"/>
    <w:basedOn w:val="14"/>
    <w:qFormat/>
    <w:uiPriority w:val="0"/>
    <w:rPr>
      <w:rFonts w:hint="eastAsia" w:ascii="宋体" w:hAnsi="宋体" w:eastAsia="宋体" w:cs="宋体"/>
      <w:color w:val="FF0000"/>
      <w:sz w:val="20"/>
      <w:szCs w:val="20"/>
      <w:u w:val="none"/>
      <w:vertAlign w:val="superscript"/>
    </w:rPr>
  </w:style>
  <w:style w:type="character" w:customStyle="1" w:styleId="21">
    <w:name w:val="font11"/>
    <w:basedOn w:val="14"/>
    <w:qFormat/>
    <w:uiPriority w:val="0"/>
    <w:rPr>
      <w:rFonts w:ascii="MS Gothic" w:hAnsi="MS Gothic" w:eastAsia="MS Gothic" w:cs="MS Gothic"/>
      <w:color w:val="000000"/>
      <w:sz w:val="20"/>
      <w:szCs w:val="20"/>
      <w:u w:val="none"/>
    </w:rPr>
  </w:style>
  <w:style w:type="character" w:customStyle="1" w:styleId="22">
    <w:name w:val="font61"/>
    <w:basedOn w:val="14"/>
    <w:qFormat/>
    <w:uiPriority w:val="0"/>
    <w:rPr>
      <w:rFonts w:hint="eastAsia" w:ascii="宋体" w:hAnsi="宋体" w:eastAsia="宋体" w:cs="宋体"/>
      <w:color w:val="000000"/>
      <w:sz w:val="22"/>
      <w:szCs w:val="22"/>
      <w:u w:val="none"/>
    </w:rPr>
  </w:style>
  <w:style w:type="character" w:customStyle="1" w:styleId="23">
    <w:name w:val="font81"/>
    <w:basedOn w:val="14"/>
    <w:qFormat/>
    <w:uiPriority w:val="0"/>
    <w:rPr>
      <w:rFonts w:hint="eastAsia" w:ascii="宋体" w:hAnsi="宋体" w:eastAsia="宋体" w:cs="宋体"/>
      <w:color w:val="000000"/>
      <w:sz w:val="22"/>
      <w:szCs w:val="22"/>
      <w:u w:val="none"/>
      <w:vertAlign w:val="superscript"/>
    </w:rPr>
  </w:style>
  <w:style w:type="paragraph" w:customStyle="1" w:styleId="24">
    <w:name w:val="表格文字"/>
    <w:basedOn w:val="8"/>
    <w:next w:val="3"/>
    <w:qFormat/>
    <w:uiPriority w:val="0"/>
    <w:pPr>
      <w:adjustRightInd w:val="0"/>
      <w:snapToGrid w:val="0"/>
      <w:spacing w:before="120" w:beforeLines="50" w:line="360" w:lineRule="auto"/>
      <w:jc w:val="center"/>
    </w:pPr>
    <w:rPr>
      <w:kern w:val="44"/>
      <w:sz w:val="18"/>
      <w:szCs w:val="20"/>
    </w:rPr>
  </w:style>
  <w:style w:type="character" w:customStyle="1" w:styleId="25">
    <w:name w:val="font71"/>
    <w:basedOn w:val="14"/>
    <w:qFormat/>
    <w:uiPriority w:val="0"/>
    <w:rPr>
      <w:rFonts w:hint="default" w:ascii="Times New Roman" w:hAnsi="Times New Roman" w:cs="Times New Roman"/>
      <w:color w:val="000000"/>
      <w:sz w:val="20"/>
      <w:szCs w:val="20"/>
      <w:u w:val="none"/>
    </w:rPr>
  </w:style>
  <w:style w:type="character" w:customStyle="1" w:styleId="26">
    <w:name w:val="font0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663</Words>
  <Characters>671</Characters>
  <Lines>167</Lines>
  <Paragraphs>166</Paragraphs>
  <TotalTime>33</TotalTime>
  <ScaleCrop>false</ScaleCrop>
  <LinksUpToDate>false</LinksUpToDate>
  <CharactersWithSpaces>1168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2024-07-01T07:45:00Z</dcterms:created>
  <dc:creator>86137</dc:creator>
  <cp:lastModifiedBy>86135</cp:lastModifiedBy>
  <cp:lastPrinted>2026-05-12T07:07:00Z</cp:lastPrinted>
  <dcterms:modified xsi:type="dcterms:W3CDTF">2026-05-28T07:54:23Z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0C3405F22D2240FCB0205DAE043E9BBE_13</vt:lpwstr>
  </property>
  <property fmtid="{D5CDD505-2E9C-101B-9397-08002B2CF9AE}" pid="4" name="KSOTemplateDocerSaveRecord">
    <vt:lpwstr>eyJoZGlkIjoiNjJmNTAxMGQxMmZlYmIwODEyYWI4NTcwMzU1YTdhMDkiLCJ1c2VySWQiOiI0MTQxMzIyNDYifQ==</vt:lpwstr>
  </property>
</Properties>
</file>