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71F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</w:rPr>
        <w:t>天津市管道工程集团有限公司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sz w:val="36"/>
          <w:szCs w:val="36"/>
          <w:highlight w:val="none"/>
          <w:shd w:val="clear" w:fill="FFFFFF"/>
          <w:lang w:val="en-US" w:eastAsia="zh-CN"/>
        </w:rPr>
        <w:t>OA系统运维服务项目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单一来源采购文件</w:t>
      </w:r>
    </w:p>
    <w:p w14:paraId="21EECFFA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 w14:paraId="63BE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一、项目需求及概况</w:t>
      </w:r>
    </w:p>
    <w:p w14:paraId="4657CBEF">
      <w:pPr>
        <w:pStyle w:val="15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本次采购范围为提供天津市管道工程集团有限公司所需的OA系统运维服务：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软件版本 致远</w:t>
      </w:r>
      <w:r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A8+V8.1SP2集团版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，具体配套服务如下：</w:t>
      </w:r>
    </w:p>
    <w:p w14:paraId="62AEF485">
      <w:pPr>
        <w:pStyle w:val="15"/>
        <w:jc w:val="center"/>
        <w:rPr>
          <w:rFonts w:hint="eastAsia" w:ascii="微软雅黑" w:hAnsi="微软雅黑" w:eastAsia="微软雅黑" w:cs="仿宋"/>
          <w:snapToGrid w:val="0"/>
          <w:kern w:val="0"/>
          <w:sz w:val="18"/>
          <w:szCs w:val="18"/>
          <w:highlight w:val="none"/>
          <w:u w:val="none" w:color="auto"/>
          <w:lang w:bidi="ar"/>
        </w:rPr>
      </w:pP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  <w:highlight w:val="none"/>
        </w:rPr>
        <w:t>原厂Online Support在线服务(OS)服务内容</w:t>
      </w:r>
    </w:p>
    <w:tbl>
      <w:tblPr>
        <w:tblStyle w:val="8"/>
        <w:tblW w:w="464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327"/>
        <w:gridCol w:w="3742"/>
        <w:gridCol w:w="883"/>
        <w:gridCol w:w="883"/>
      </w:tblGrid>
      <w:tr w14:paraId="7447C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0070C0"/>
            <w:noWrap w:val="0"/>
            <w:vAlign w:val="center"/>
          </w:tcPr>
          <w:p w14:paraId="35391E5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服务产品</w:t>
            </w:r>
          </w:p>
        </w:tc>
        <w:tc>
          <w:tcPr>
            <w:tcW w:w="838" w:type="pc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0070C0"/>
            <w:noWrap w:val="0"/>
            <w:vAlign w:val="center"/>
          </w:tcPr>
          <w:p w14:paraId="792C3243"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服务项目</w:t>
            </w:r>
          </w:p>
        </w:tc>
        <w:tc>
          <w:tcPr>
            <w:tcW w:w="2365" w:type="pc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0070C0"/>
            <w:noWrap w:val="0"/>
            <w:vAlign w:val="center"/>
          </w:tcPr>
          <w:p w14:paraId="5A5EAD2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服务内容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0070C0"/>
            <w:noWrap w:val="0"/>
            <w:vAlign w:val="center"/>
          </w:tcPr>
          <w:p w14:paraId="2C7B6D9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服务方式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dotted" w:color="auto" w:sz="4" w:space="0"/>
              <w:right w:val="single" w:color="auto" w:sz="4" w:space="0"/>
            </w:tcBorders>
            <w:shd w:val="clear" w:color="000000" w:fill="0070C0"/>
            <w:noWrap w:val="0"/>
            <w:vAlign w:val="center"/>
          </w:tcPr>
          <w:p w14:paraId="18EEEB5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响应时间</w:t>
            </w:r>
          </w:p>
        </w:tc>
      </w:tr>
      <w:tr w14:paraId="0F8F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C421E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产品质量保障服务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A4144F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补丁推送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69BA7BF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主动推送BUG补丁包、月度修复包、安全补丁、高频补丁的更新通知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23F722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3BF9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实时推送</w:t>
            </w:r>
          </w:p>
        </w:tc>
      </w:tr>
      <w:tr w14:paraId="058D4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B2AC37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87CB4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补丁下载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E03DC1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提供单点补丁包、月度修复包、安全补丁、高频补丁下载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02B872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5743F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451C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FDE66F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400电话服务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6C279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标准坐席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15E388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原厂400电话受理用户反馈的产品功能问题、产品功能咨询、产品功能建议等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745A09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人工坐席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EB9D8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5*8小时</w:t>
            </w:r>
          </w:p>
        </w:tc>
      </w:tr>
      <w:tr w14:paraId="1523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3AE43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在线人工服务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C6D01E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人工客服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460196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即时通讯工具受理用户反馈的产品功能问题、产品应用咨询、产品功能建议等（1个用户端）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A1927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人工坐席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732588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5*8小时</w:t>
            </w:r>
          </w:p>
        </w:tc>
      </w:tr>
      <w:tr w14:paraId="5588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A26CBC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1EE69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在线工单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2AB65C1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服务云平台问题在线实时提报，工作日30分钟之内响应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6A7EAA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人工坐席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06E09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5*8小时</w:t>
            </w:r>
          </w:p>
        </w:tc>
      </w:tr>
      <w:tr w14:paraId="51AC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BCA511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D82CCF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在线问答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CB3CF9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服务云平台提供在线问题答疑，工作日4小时之内响应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4B417A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人工坐席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1D90122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5*8小时</w:t>
            </w:r>
          </w:p>
        </w:tc>
      </w:tr>
      <w:tr w14:paraId="49C9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D5231D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019C8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在线预约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CF7227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一键预约免排队，申请远程/现场运维服务，3小时内响应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9E6731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人工坐席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noWrap w:val="0"/>
            <w:vAlign w:val="center"/>
          </w:tcPr>
          <w:p w14:paraId="5897314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5*8小时</w:t>
            </w:r>
          </w:p>
        </w:tc>
      </w:tr>
      <w:tr w14:paraId="55B5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E2B315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color w:val="FF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在线通知服务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BED61E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服务进度回访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015EF0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至诚服务小助理主动电话通知提报BUG的解决方案及满意度回访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2CBEF46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4BACF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5*8小时</w:t>
            </w:r>
          </w:p>
        </w:tc>
      </w:tr>
      <w:tr w14:paraId="0F1AA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2772BC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DE6DD6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服务进度提醒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82769F3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站内信及短信及时推送问题处理进度，第一时间告知提报人处理结果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667B2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7453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1F63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7DEDCE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D948EA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服务到期提醒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64113DC7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运维服务和云订阅产品到期预警提醒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FE54D0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A787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4D72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3E26E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在线自助服务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B49865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单位信息查询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6FCBB7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查看本单位运维服务信息，包含协同产品版本、加密狗号、运维服务期限、服务验证码等信息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2690F8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9FDF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43E6D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27D175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E15CAD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服务进度查询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BEFDF8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实时查看问题处理进度，并支持线上催办、问题确认及满意评价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455C0A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2FBD8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78C0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565105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7DF291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智能客服机器人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2AC52D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智能客服机器人7*24小时在线问答自助服务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22288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FEE88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644C9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1D5926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C9A78B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在线知识库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6A5D3C8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官方海量知识，全面汇总全面汇总协同运维知识、协同产品常见问题等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79BFF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02AE0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35B62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4BC1F9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4679D1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运维工具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BA0BA8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高频问题排查模板和环境系统类工具，协助问题的快速定位及处理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2A3D887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00B2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46D04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78E2C9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8ECF91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功能应用案例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D2922C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通过业务背景描述和详细的功能设置讲解，掌握产品复杂功能应用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4C0EB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3E7C2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4061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B579D1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A5403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在线文档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65CD26F9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产品操作手册、安装维护手册、产品发布文档、产品白皮书等产品文档的在线查看和下载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1777D2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7DC35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7429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6B6498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63240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服务报告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FBFA92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通过服务云平台在线实时查看年度服务报告，包含远程运维及本地运维服务明细，并提供系统维护建议，基于客户行业推荐专属客户案例和业务解决方案，帮助客户深化系统应用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C6690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07D21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0006F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064BC2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在线课程服务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EFC58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新手入门课程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6ED7F55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提供协同产品基础功能操作及使用视频课程，包含协同工作、公文管理、组织模型、知识社区等课程包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534F7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4357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35D5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7CB944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6ED4D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系统运维课程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BAA563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提供针对系统参数设置、产品及插件安装部署、系统监测、系统巡检工具等方面提供线上学习课程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59C61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D9DBF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0279E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A8CCD7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F4009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业务应用课程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950E136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提供CAP4全套线上学习课程，包含表单、流程、报表、门户、菜单及权限等功能设置讲解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EBDEAE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D5B9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69D84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AF454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版本更新服务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67AC4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新品发布通知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3C04F9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新版上市时发布产品公告，包含版本号、产品上市时间、接受订货时间和产品文档列表等信息主动推送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DF442C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7967C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402D5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5826F8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CB255D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新品课程线上学习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C221FF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提供新版本的产品特性、价值与功能变化的线上学习课程，分模块全方位讲解新功能亮点、应用场景及新品变化带来的价值等内容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657FCD7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D79CB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39E8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A2C2271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44DD8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新品体验服务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7D2ADD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新产品、解决方案、行业应用等在线体验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5829EC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 /线下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030CE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实时推送</w:t>
            </w:r>
          </w:p>
        </w:tc>
      </w:tr>
      <w:tr w14:paraId="61B8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FB3718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96F570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SP产品升级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205C715B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服务期内同一版SP安装程序下载，不含升级实施服务，例：V8.1版本可升级到V8.1SP2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001EF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AF882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2A90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62AB2F5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主动关怀服务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F44C8B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登录页换肤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F809C0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提供节假日登录页模板下载，含PC端及移动端模板样式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B13B68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F7A7E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实时推送</w:t>
            </w:r>
          </w:p>
        </w:tc>
      </w:tr>
      <w:tr w14:paraId="5D370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78656A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1AA28C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专家讲堂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39620E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行业专家、知名学者、生态伙伴、名企CIO数字化/信息化专家讲座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FD227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线上服务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3156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实时推送</w:t>
            </w:r>
          </w:p>
        </w:tc>
      </w:tr>
      <w:tr w14:paraId="35049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80" w:type="pct"/>
            <w:tcBorders>
              <w:top w:val="nil"/>
              <w:left w:val="single" w:color="auto" w:sz="4" w:space="0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05D434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S1基础服务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28CB29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S1自助服务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C353E8D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注册加密更新、数据库备份恢复、数据库参数查看、加密狗信息查看、服务参数设置、加密狗设置、共享加密设置、服务启停配置、密码重置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ABFCE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C204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103F6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restart"/>
            <w:tcBorders>
              <w:top w:val="nil"/>
              <w:left w:val="single" w:color="auto" w:sz="4" w:space="0"/>
              <w:bottom w:val="dotted" w:color="000000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46DDA6A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color w:val="FF000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S1增值服务</w:t>
            </w: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4B7113D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数据管理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41C32E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自动扫描出当前数据库中缺失的索引与主键，并补齐缺失的主键及索引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0A9EB2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93154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6685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000000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1CC4B10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/>
            <w:vAlign w:val="center"/>
          </w:tcPr>
          <w:p w14:paraId="094744D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日志管理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456EC00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对协同日志进行检索及打包下载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2F62360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3A3B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1B0C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000000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34D4A3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A8B368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资源监控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6E6E619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分析当前环境内存占用情况，以及志愿服务占用内存的情况，并根据注册数，对比当前内存大小，给出建议值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B312BA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3886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015EB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000000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D30CB2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2ECA14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运维监控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A42B66E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服务器CPU、服务器内存、在线人数、JVM、性能预警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0A2783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D1DF3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76203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000000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37FBFB1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0190D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系统监控Dump获取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6995401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自动/手动导出dump，用于开发分析性能问题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16BB3C6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A5E4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14E9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000000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698426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52F742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表结构一致性扫描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54A8CF38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表结构完整性扫描，可查询表数据缺失字段或长度不一致字段信息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7B79072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2F370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05087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000000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0304244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6FD6068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数据库查询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000000" w:sz="4" w:space="0"/>
            </w:tcBorders>
            <w:shd w:val="clear" w:color="000000" w:fill="FFFFFF"/>
            <w:noWrap w:val="0"/>
            <w:vAlign w:val="center"/>
          </w:tcPr>
          <w:p w14:paraId="3C69493F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查询工具并且预置多套查询模板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4CE3A3C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BEF873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  <w:tr w14:paraId="46A0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80" w:type="pct"/>
            <w:vMerge w:val="continue"/>
            <w:tcBorders>
              <w:top w:val="nil"/>
              <w:left w:val="single" w:color="auto" w:sz="4" w:space="0"/>
              <w:bottom w:val="dotted" w:color="000000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410F7F8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auto" w:fill="auto"/>
            <w:noWrap w:val="0"/>
            <w:vAlign w:val="center"/>
          </w:tcPr>
          <w:p w14:paraId="7712875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人员账号恢复</w:t>
            </w:r>
          </w:p>
        </w:tc>
        <w:tc>
          <w:tcPr>
            <w:tcW w:w="2365" w:type="pct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0F91FAEA">
            <w:pPr>
              <w:kinsoku/>
              <w:autoSpaceDE/>
              <w:autoSpaceDN/>
              <w:adjustRightInd/>
              <w:snapToGrid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恢复已删除人员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dotted" w:color="auto" w:sz="4" w:space="0"/>
            </w:tcBorders>
            <w:shd w:val="clear" w:color="000000" w:fill="FFFFFF"/>
            <w:noWrap w:val="0"/>
            <w:vAlign w:val="center"/>
          </w:tcPr>
          <w:p w14:paraId="35780F7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自助服务</w:t>
            </w:r>
          </w:p>
        </w:tc>
        <w:tc>
          <w:tcPr>
            <w:tcW w:w="558" w:type="pct"/>
            <w:tcBorders>
              <w:top w:val="nil"/>
              <w:left w:val="nil"/>
              <w:bottom w:val="dotted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BB9248">
            <w:pPr>
              <w:kinsoku/>
              <w:autoSpaceDE/>
              <w:autoSpaceDN/>
              <w:adjustRightInd/>
              <w:snapToGrid/>
              <w:ind w:left="-804" w:leftChars="-383" w:firstLine="801" w:firstLineChars="445"/>
              <w:jc w:val="center"/>
              <w:textAlignment w:val="auto"/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sz w:val="18"/>
                <w:szCs w:val="18"/>
                <w:highlight w:val="none"/>
                <w:lang w:bidi="ar"/>
              </w:rPr>
              <w:t>7*24小时</w:t>
            </w:r>
          </w:p>
        </w:tc>
      </w:tr>
    </w:tbl>
    <w:p w14:paraId="5688AC75">
      <w:pPr>
        <w:pStyle w:val="15"/>
        <w:jc w:val="center"/>
        <w:rPr>
          <w:rFonts w:hint="eastAsia" w:ascii="微软雅黑" w:hAnsi="微软雅黑" w:eastAsia="微软雅黑" w:cs="微软雅黑"/>
          <w:b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/>
          <w:color w:val="auto"/>
          <w:sz w:val="28"/>
          <w:szCs w:val="28"/>
          <w:highlight w:val="none"/>
        </w:rPr>
        <w:t>原厂增值服务内容</w:t>
      </w:r>
    </w:p>
    <w:tbl>
      <w:tblPr>
        <w:tblStyle w:val="8"/>
        <w:tblW w:w="476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2"/>
        <w:gridCol w:w="3386"/>
        <w:gridCol w:w="1148"/>
        <w:gridCol w:w="803"/>
        <w:gridCol w:w="909"/>
      </w:tblGrid>
      <w:tr w14:paraId="30209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066" w:type="pct"/>
            <w:tcBorders>
              <w:top w:val="double" w:color="000000" w:sz="4" w:space="0"/>
              <w:left w:val="doub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007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E9FAF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服务项目</w:t>
            </w:r>
          </w:p>
        </w:tc>
        <w:tc>
          <w:tcPr>
            <w:tcW w:w="2133" w:type="pct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007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7D467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服务内容</w:t>
            </w:r>
          </w:p>
        </w:tc>
        <w:tc>
          <w:tcPr>
            <w:tcW w:w="723" w:type="pct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007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870DE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服务角色</w:t>
            </w:r>
          </w:p>
        </w:tc>
        <w:tc>
          <w:tcPr>
            <w:tcW w:w="506" w:type="pct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007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2ACF5A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服务方式</w:t>
            </w:r>
          </w:p>
        </w:tc>
        <w:tc>
          <w:tcPr>
            <w:tcW w:w="573" w:type="pct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double" w:color="000000" w:sz="4" w:space="0"/>
            </w:tcBorders>
            <w:shd w:val="clear" w:color="auto" w:fill="0070C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95F08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b/>
                <w:color w:val="FFFFFF"/>
                <w:sz w:val="18"/>
                <w:szCs w:val="18"/>
                <w:highlight w:val="none"/>
                <w:lang w:bidi="ar"/>
              </w:rPr>
              <w:t>服务次数</w:t>
            </w:r>
          </w:p>
        </w:tc>
      </w:tr>
      <w:tr w14:paraId="7FAECE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1066" w:type="pct"/>
            <w:tcBorders>
              <w:top w:val="double" w:color="000000" w:sz="4" w:space="0"/>
              <w:left w:val="double" w:color="000000" w:sz="4" w:space="0"/>
              <w:bottom w:val="dotted" w:color="000000" w:sz="4" w:space="0"/>
              <w:right w:val="dotted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FEFC9F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在线人工客服端</w:t>
            </w:r>
          </w:p>
        </w:tc>
        <w:tc>
          <w:tcPr>
            <w:tcW w:w="2133" w:type="pct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346C3">
            <w:pPr>
              <w:pStyle w:val="7"/>
              <w:wordWrap w:val="0"/>
              <w:jc w:val="both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kern w:val="2"/>
                <w:sz w:val="18"/>
                <w:szCs w:val="18"/>
                <w:highlight w:val="none"/>
                <w:lang w:bidi="ar"/>
              </w:rPr>
              <w:t>通过即时通讯工具在线为客户提供产品功能问题解答，产品应用咨询，受理产品功能建议等</w:t>
            </w:r>
          </w:p>
        </w:tc>
        <w:tc>
          <w:tcPr>
            <w:tcW w:w="723" w:type="pct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C9D35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在线服务</w:t>
            </w:r>
          </w:p>
        </w:tc>
        <w:tc>
          <w:tcPr>
            <w:tcW w:w="506" w:type="pct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2B440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b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在线服务</w:t>
            </w:r>
          </w:p>
        </w:tc>
        <w:tc>
          <w:tcPr>
            <w:tcW w:w="573" w:type="pct"/>
            <w:tcBorders>
              <w:top w:val="double" w:color="000000" w:sz="4" w:space="0"/>
              <w:left w:val="dotted" w:color="000000" w:sz="4" w:space="0"/>
              <w:bottom w:val="dotted" w:color="000000" w:sz="4" w:space="0"/>
              <w:right w:val="doub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C9670F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b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5个用户端</w:t>
            </w:r>
          </w:p>
        </w:tc>
      </w:tr>
      <w:tr w14:paraId="6FA6E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6" w:type="pct"/>
            <w:tcBorders>
              <w:top w:val="dotted" w:color="000000" w:sz="4" w:space="0"/>
              <w:left w:val="doub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E40B2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现场运维支持服务</w:t>
            </w:r>
          </w:p>
        </w:tc>
        <w:tc>
          <w:tcPr>
            <w:tcW w:w="213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E2A3A">
            <w:pPr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针对用户日常遇到的产品使用问题提供现场支持服务。</w:t>
            </w:r>
          </w:p>
        </w:tc>
        <w:tc>
          <w:tcPr>
            <w:tcW w:w="72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67625B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本地运维团队</w:t>
            </w:r>
          </w:p>
        </w:tc>
        <w:tc>
          <w:tcPr>
            <w:tcW w:w="506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D5430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现场支持</w:t>
            </w:r>
          </w:p>
        </w:tc>
        <w:tc>
          <w:tcPr>
            <w:tcW w:w="57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ub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58D76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8次</w:t>
            </w:r>
          </w:p>
        </w:tc>
      </w:tr>
      <w:tr w14:paraId="0B6E7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6" w:type="pct"/>
            <w:tcBorders>
              <w:top w:val="dotted" w:color="000000" w:sz="4" w:space="0"/>
              <w:left w:val="doub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41D31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系统紧急救援</w:t>
            </w:r>
          </w:p>
        </w:tc>
        <w:tc>
          <w:tcPr>
            <w:tcW w:w="213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E6206">
            <w:pPr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针对用户日常遇到的产品应用系统使用问题提供现场紧急支持服务</w:t>
            </w:r>
          </w:p>
        </w:tc>
        <w:tc>
          <w:tcPr>
            <w:tcW w:w="72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74788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本地运维团队</w:t>
            </w:r>
          </w:p>
        </w:tc>
        <w:tc>
          <w:tcPr>
            <w:tcW w:w="506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429BB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现场支持</w:t>
            </w:r>
          </w:p>
        </w:tc>
        <w:tc>
          <w:tcPr>
            <w:tcW w:w="57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ub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6E305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2次</w:t>
            </w:r>
          </w:p>
        </w:tc>
      </w:tr>
      <w:tr w14:paraId="3699F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1066" w:type="pct"/>
            <w:tcBorders>
              <w:top w:val="dotted" w:color="000000" w:sz="4" w:space="0"/>
              <w:left w:val="doub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F4101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环境优化服务</w:t>
            </w:r>
          </w:p>
        </w:tc>
        <w:tc>
          <w:tcPr>
            <w:tcW w:w="213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63D80">
            <w:pPr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针对系统应用复杂，负载较高、存在性能慢等提供系统环境优化服务</w:t>
            </w:r>
          </w:p>
        </w:tc>
        <w:tc>
          <w:tcPr>
            <w:tcW w:w="72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97594A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研发专家团队/</w:t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本地运维团队</w:t>
            </w:r>
          </w:p>
        </w:tc>
        <w:tc>
          <w:tcPr>
            <w:tcW w:w="506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8F5D8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现场支持</w:t>
            </w:r>
          </w:p>
        </w:tc>
        <w:tc>
          <w:tcPr>
            <w:tcW w:w="57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ub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50C5B8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1次</w:t>
            </w:r>
          </w:p>
        </w:tc>
      </w:tr>
      <w:tr w14:paraId="5325C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066" w:type="pct"/>
            <w:tcBorders>
              <w:top w:val="dotted" w:color="000000" w:sz="4" w:space="0"/>
              <w:left w:val="doub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AF3F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二次开发培训</w:t>
            </w:r>
          </w:p>
        </w:tc>
        <w:tc>
          <w:tcPr>
            <w:tcW w:w="213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F01DF">
            <w:pPr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1.上门二次开发培训，提高用户开发技术，降低用户成本</w:t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2.2天现场开发培训+1天远程开发指导</w:t>
            </w:r>
          </w:p>
        </w:tc>
        <w:tc>
          <w:tcPr>
            <w:tcW w:w="72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1B3D2A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本地开发团队</w:t>
            </w:r>
          </w:p>
        </w:tc>
        <w:tc>
          <w:tcPr>
            <w:tcW w:w="506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52848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现场支持</w:t>
            </w:r>
          </w:p>
        </w:tc>
        <w:tc>
          <w:tcPr>
            <w:tcW w:w="57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ub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A4618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1次</w:t>
            </w:r>
          </w:p>
        </w:tc>
      </w:tr>
      <w:tr w14:paraId="0D803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066" w:type="pct"/>
            <w:tcBorders>
              <w:top w:val="dotted" w:color="000000" w:sz="4" w:space="0"/>
              <w:left w:val="doub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9AFD7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系统管理员培训</w:t>
            </w:r>
          </w:p>
        </w:tc>
        <w:tc>
          <w:tcPr>
            <w:tcW w:w="213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4C85AC">
            <w:pPr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1.上门培训，面向系统管理员和部门关键用户</w:t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2.提供协同深化应用及持续维护的能力提升培训（2人天）</w:t>
            </w:r>
          </w:p>
        </w:tc>
        <w:tc>
          <w:tcPr>
            <w:tcW w:w="72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9A0FF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本地运维团队</w:t>
            </w:r>
          </w:p>
        </w:tc>
        <w:tc>
          <w:tcPr>
            <w:tcW w:w="506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0A50BB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现场支持</w:t>
            </w:r>
          </w:p>
        </w:tc>
        <w:tc>
          <w:tcPr>
            <w:tcW w:w="57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ub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79C7D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1次</w:t>
            </w:r>
          </w:p>
        </w:tc>
      </w:tr>
      <w:tr w14:paraId="240ED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066" w:type="pct"/>
            <w:tcBorders>
              <w:top w:val="dotted" w:color="000000" w:sz="4" w:space="0"/>
              <w:left w:val="doub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C84DD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高级系统工程师认证</w:t>
            </w:r>
          </w:p>
        </w:tc>
        <w:tc>
          <w:tcPr>
            <w:tcW w:w="213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C8F10">
            <w:pPr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1.掌握协同服务日常运维启停、运维工具使用、补丁更新</w:t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2.掌握协同各类管理员的日常维护操作、管理授权</w:t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br w:type="textWrapping"/>
            </w: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3.客户端常用插件安装更新、能解决常见的客户端使用操作问题</w:t>
            </w:r>
          </w:p>
        </w:tc>
        <w:tc>
          <w:tcPr>
            <w:tcW w:w="72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24011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本地开发团队</w:t>
            </w:r>
          </w:p>
        </w:tc>
        <w:tc>
          <w:tcPr>
            <w:tcW w:w="506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8825B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现场支持</w:t>
            </w:r>
          </w:p>
        </w:tc>
        <w:tc>
          <w:tcPr>
            <w:tcW w:w="573" w:type="pct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ub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B660D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1人</w:t>
            </w:r>
          </w:p>
        </w:tc>
      </w:tr>
      <w:tr w14:paraId="12F7A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066" w:type="pct"/>
            <w:tcBorders>
              <w:top w:val="dotted" w:color="000000" w:sz="4" w:space="0"/>
              <w:left w:val="double" w:color="000000" w:sz="4" w:space="0"/>
              <w:bottom w:val="double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7472C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系统巡检</w:t>
            </w:r>
          </w:p>
        </w:tc>
        <w:tc>
          <w:tcPr>
            <w:tcW w:w="2133" w:type="pct"/>
            <w:tcBorders>
              <w:top w:val="dotted" w:color="000000" w:sz="4" w:space="0"/>
              <w:left w:val="dotted" w:color="000000" w:sz="4" w:space="0"/>
              <w:bottom w:val="double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D8C67F">
            <w:pPr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提供产品运行状态检查服务，包括系统资源使用率、数据库服务巡检、协同安全巡检、漏洞补丁扫描、参数检查和日志检查，并提供巡检报告和改进建议</w:t>
            </w:r>
          </w:p>
        </w:tc>
        <w:tc>
          <w:tcPr>
            <w:tcW w:w="723" w:type="pct"/>
            <w:tcBorders>
              <w:top w:val="dotted" w:color="000000" w:sz="4" w:space="0"/>
              <w:left w:val="dotted" w:color="000000" w:sz="4" w:space="0"/>
              <w:bottom w:val="double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2AC3C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本地运维团队</w:t>
            </w:r>
          </w:p>
        </w:tc>
        <w:tc>
          <w:tcPr>
            <w:tcW w:w="506" w:type="pct"/>
            <w:tcBorders>
              <w:top w:val="dotted" w:color="000000" w:sz="4" w:space="0"/>
              <w:left w:val="dotted" w:color="000000" w:sz="4" w:space="0"/>
              <w:bottom w:val="double" w:color="000000" w:sz="4" w:space="0"/>
              <w:right w:val="dotted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8E5D6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现场支持</w:t>
            </w:r>
          </w:p>
        </w:tc>
        <w:tc>
          <w:tcPr>
            <w:tcW w:w="573" w:type="pct"/>
            <w:tcBorders>
              <w:top w:val="dotted" w:color="000000" w:sz="4" w:space="0"/>
              <w:left w:val="dotted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E4938">
            <w:pPr>
              <w:jc w:val="center"/>
              <w:textAlignment w:val="center"/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微软雅黑" w:hAnsi="微软雅黑" w:eastAsia="微软雅黑" w:cs="仿宋"/>
                <w:color w:val="auto"/>
                <w:sz w:val="18"/>
                <w:szCs w:val="18"/>
                <w:highlight w:val="none"/>
                <w:lang w:bidi="ar"/>
              </w:rPr>
              <w:t>1次</w:t>
            </w:r>
          </w:p>
        </w:tc>
      </w:tr>
    </w:tbl>
    <w:p w14:paraId="64C2A9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选取单一来源采购方式的原因：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本次采购需要供应商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具有致远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A8+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协同管理软件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[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简称：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A8+]V8.1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软件著作权。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eastAsia="zh-CN"/>
        </w:rPr>
        <w:t>所选取的供应商具有单一性，符合《天津管道工程集团自有资金采购管理办法》第十八条：“单一来源适用于：（一）只能从唯一供应商处采购的（涉及专利、专有技术、行政公用事业或其他性质特殊的）”要求。</w:t>
      </w:r>
    </w:p>
    <w:p w14:paraId="192B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报价人资质要求</w:t>
      </w:r>
    </w:p>
    <w:p w14:paraId="1EF6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具有致远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A8+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协同管理软件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[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简称：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A8+]V8.1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软件著作权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eastAsia="zh-CN"/>
        </w:rPr>
        <w:t>；</w:t>
      </w:r>
    </w:p>
    <w:p w14:paraId="5C4EA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2.应为在中华人民共和国境内注册的具有独立法人资格的供应商，且营业执照在有效期内，具有良好的商业信誉。</w:t>
      </w:r>
    </w:p>
    <w:p w14:paraId="3F9BF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3.报价人应为水务集团合格供应商（“津水云采”平台注册审核通过并购买CA证书且为激活状态的供应商）（合格供应商注册网址：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instrText xml:space="preserve"> HYPERLINK "http://www.jinshuiyuncai.com/）"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12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http://www.jinshuiyuncai.com/）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fldChar w:fldCharType="end"/>
      </w:r>
    </w:p>
    <w:p w14:paraId="31C6C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4.未被列入“信用中国”网站(www.creditchina.gov.cn)等渠道查询信用记录失信被执行人、重大税收违法案件当事人名单、政府采购严重违法失信行为记录名单。</w:t>
      </w:r>
    </w:p>
    <w:p w14:paraId="5402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四、本项目控制价为：8.272万元（含税价）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 w14:paraId="0221E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五、服务期限：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年7月1日到202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年6月30日。</w:t>
      </w:r>
    </w:p>
    <w:p w14:paraId="409CDF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239" w:line="540" w:lineRule="exact"/>
        <w:ind w:right="278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六、付款方式：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合同签署后5个工作日内，乙方提供合同款额的增值税专用发票后，甲方支付款项。</w:t>
      </w:r>
    </w:p>
    <w:p w14:paraId="6774A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七、报价起止时间：2026年6月2日16时40分至2026年6月4日16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时40分（北京时间）。</w:t>
      </w:r>
    </w:p>
    <w:p w14:paraId="7B941F3D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left="0" w:leftChars="0" w:firstLine="643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开标时间：2025年6月4日16时40分（北京时间）。</w:t>
      </w:r>
    </w:p>
    <w:p w14:paraId="25BDAD1F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八、报价文件的组成：</w:t>
      </w:r>
    </w:p>
    <w:p w14:paraId="2EF4E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1.法定代表人（负责人）资格证明书（见附件1）；</w:t>
      </w:r>
    </w:p>
    <w:p w14:paraId="78360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2.法定代表人授权委托书（如有委托代理人时提供，见附件2）；</w:t>
      </w:r>
    </w:p>
    <w:p w14:paraId="4D4B4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3.报价清单（见附件3）；</w:t>
      </w:r>
    </w:p>
    <w:p w14:paraId="781A7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4.廉政承诺书（见附件4）；</w:t>
      </w:r>
    </w:p>
    <w:p w14:paraId="6CA1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5.开户许可证（或银行基本存款信息）复印件；</w:t>
      </w:r>
    </w:p>
    <w:p w14:paraId="2AFB2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6.营业执照复印件；</w:t>
      </w:r>
    </w:p>
    <w:p w14:paraId="02ED0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致远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A8+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协同管理软件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[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简称：</w:t>
      </w:r>
      <w:r>
        <w:rPr>
          <w:rFonts w:ascii="仿宋" w:hAnsi="仿宋" w:eastAsia="仿宋" w:cs="仿宋"/>
          <w:color w:val="auto"/>
          <w:spacing w:val="-2"/>
          <w:sz w:val="32"/>
          <w:szCs w:val="32"/>
          <w:highlight w:val="none"/>
        </w:rPr>
        <w:t>A8+]V8.1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软件著作权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eastAsia="zh-CN"/>
        </w:rPr>
        <w:t>证明文件。</w:t>
      </w:r>
    </w:p>
    <w:p w14:paraId="4D303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九、报价方式：</w:t>
      </w:r>
    </w:p>
    <w:p w14:paraId="25B5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本次询价项目采用线上开标的方式，报价人按照要求准备报价文件并加盖公章法人章，于报价截止日期前将材料的扫描件发布到津水云采投标平台。</w:t>
      </w:r>
    </w:p>
    <w:p w14:paraId="093AD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开标地点：天津市和平区赤峰道91号。</w:t>
      </w:r>
    </w:p>
    <w:p w14:paraId="613009C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十、质量保证承诺：</w:t>
      </w:r>
    </w:p>
    <w:p w14:paraId="01151D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="239" w:line="540" w:lineRule="exact"/>
        <w:ind w:left="34" w:right="278" w:firstLine="632" w:firstLineChars="200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eastAsia="zh-CN"/>
        </w:rPr>
        <w:t>根据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有关法律、法规，在自愿、平等、协商一致的基础上，乙方必须保证按照合同约定提供的服务内容逐项服务，并且确保服务质量。</w:t>
      </w:r>
    </w:p>
    <w:p w14:paraId="6D68B8A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十一、中标单位的确定：</w:t>
      </w:r>
    </w:p>
    <w:p w14:paraId="0786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中标单位一经确定，由采购单位进行中标结果公示，公示期满后向中标单位发放中标通知书。</w:t>
      </w:r>
    </w:p>
    <w:p w14:paraId="78860E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十二、联系人：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联系人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 xml:space="preserve">:张桐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联系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电话：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</w:rPr>
        <w:t>2712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highlight w:val="none"/>
          <w:lang w:val="en-US" w:eastAsia="zh-CN"/>
        </w:rPr>
        <w:t>1513</w:t>
      </w:r>
    </w:p>
    <w:p w14:paraId="7D3830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</w:p>
    <w:p w14:paraId="190288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天津市管道工程集团有限公司</w:t>
      </w:r>
    </w:p>
    <w:p w14:paraId="212A78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FF0000"/>
          <w:spacing w:val="0"/>
          <w:sz w:val="32"/>
          <w:szCs w:val="32"/>
          <w:highlight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6年6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日</w:t>
      </w:r>
    </w:p>
    <w:p w14:paraId="478C125B">
      <w:pPr>
        <w:spacing w:line="360" w:lineRule="auto"/>
        <w:jc w:val="left"/>
        <w:rPr>
          <w:rFonts w:hint="default" w:ascii="宋体" w:hAnsi="宋体" w:eastAsiaTheme="minorEastAsia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1：</w:t>
      </w:r>
    </w:p>
    <w:p w14:paraId="0193ACB6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法定代表人</w:t>
      </w:r>
      <w:r>
        <w:rPr>
          <w:rFonts w:hint="eastAsia" w:ascii="宋体" w:hAnsi="宋体"/>
          <w:b/>
          <w:szCs w:val="21"/>
          <w:lang w:eastAsia="zh-CN"/>
        </w:rPr>
        <w:t>（负责人）</w:t>
      </w:r>
      <w:r>
        <w:rPr>
          <w:rFonts w:hint="eastAsia" w:ascii="宋体" w:hAnsi="宋体"/>
          <w:b/>
          <w:szCs w:val="21"/>
        </w:rPr>
        <w:t>资格证明书</w:t>
      </w:r>
    </w:p>
    <w:p w14:paraId="41C4AB9F">
      <w:pPr>
        <w:spacing w:line="360" w:lineRule="auto"/>
        <w:jc w:val="center"/>
        <w:rPr>
          <w:rFonts w:ascii="宋体" w:hAnsi="宋体"/>
          <w:b/>
          <w:szCs w:val="21"/>
        </w:rPr>
      </w:pPr>
    </w:p>
    <w:p w14:paraId="332AF092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名称：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571BC90F">
      <w:pPr>
        <w:spacing w:line="360" w:lineRule="auto"/>
        <w:ind w:left="630" w:hanging="630" w:hangingChars="3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地址：</w:t>
      </w:r>
      <w:r>
        <w:rPr>
          <w:rFonts w:hint="eastAsia" w:ascii="宋体" w:hAnsi="宋体"/>
          <w:szCs w:val="21"/>
          <w:u w:val="single"/>
        </w:rPr>
        <w:t xml:space="preserve">                                               </w:t>
      </w:r>
      <w:r>
        <w:rPr>
          <w:rFonts w:ascii="宋体" w:hAnsi="宋体"/>
          <w:szCs w:val="21"/>
        </w:rPr>
        <w:t xml:space="preserve"> </w:t>
      </w:r>
    </w:p>
    <w:p w14:paraId="4090FFBB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法定代表人姓名：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，性别：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，年龄：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 xml:space="preserve"> ，职务：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 xml:space="preserve"> ，为我公司法定代表人</w:t>
      </w:r>
      <w:r>
        <w:rPr>
          <w:rFonts w:hint="eastAsia" w:ascii="宋体" w:hAnsi="宋体"/>
          <w:szCs w:val="21"/>
          <w:lang w:eastAsia="zh-CN"/>
        </w:rPr>
        <w:t>（负责人）</w:t>
      </w:r>
      <w:r>
        <w:rPr>
          <w:rFonts w:hint="eastAsia" w:ascii="宋体" w:hAnsi="宋体"/>
          <w:szCs w:val="21"/>
        </w:rPr>
        <w:t>。</w:t>
      </w:r>
    </w:p>
    <w:p w14:paraId="347AFDA0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特此证明。</w:t>
      </w:r>
    </w:p>
    <w:p w14:paraId="00683D74">
      <w:pPr>
        <w:spacing w:line="360" w:lineRule="auto"/>
        <w:jc w:val="left"/>
        <w:rPr>
          <w:rFonts w:ascii="宋体" w:hAnsi="宋体"/>
          <w:szCs w:val="21"/>
        </w:rPr>
      </w:pPr>
    </w:p>
    <w:p w14:paraId="16ED279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（盖章）：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  <w:r>
        <w:rPr>
          <w:rFonts w:hint="eastAsia" w:ascii="宋体" w:hAnsi="宋体"/>
          <w:szCs w:val="21"/>
        </w:rPr>
        <w:t xml:space="preserve">    </w:t>
      </w:r>
    </w:p>
    <w:p w14:paraId="6D1DF23E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</w:t>
      </w:r>
      <w:r>
        <w:rPr>
          <w:rFonts w:hint="eastAsia" w:ascii="宋体" w:hAnsi="宋体"/>
          <w:szCs w:val="21"/>
          <w:lang w:eastAsia="zh-CN"/>
        </w:rPr>
        <w:t>（负责人）</w:t>
      </w:r>
      <w:r>
        <w:rPr>
          <w:rFonts w:hint="eastAsia" w:ascii="宋体" w:hAnsi="宋体"/>
          <w:szCs w:val="21"/>
        </w:rPr>
        <w:t>：（签字或盖章）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6E320372">
      <w:pPr>
        <w:spacing w:line="360" w:lineRule="auto"/>
        <w:jc w:val="left"/>
        <w:rPr>
          <w:rFonts w:hint="eastAsia"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</w:t>
      </w:r>
    </w:p>
    <w:p w14:paraId="2452077E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附法人</w:t>
      </w:r>
      <w:r>
        <w:rPr>
          <w:rFonts w:hint="eastAsia" w:ascii="宋体" w:hAnsi="宋体"/>
          <w:szCs w:val="21"/>
          <w:lang w:eastAsia="zh-CN"/>
        </w:rPr>
        <w:t>（负责人）</w:t>
      </w:r>
      <w:r>
        <w:rPr>
          <w:rFonts w:hint="eastAsia" w:ascii="宋体" w:hAnsi="宋体"/>
          <w:szCs w:val="21"/>
        </w:rPr>
        <w:t>身份证正反面照片</w:t>
      </w:r>
    </w:p>
    <w:p w14:paraId="79B2C1EF">
      <w:pPr>
        <w:spacing w:line="360" w:lineRule="auto"/>
        <w:jc w:val="left"/>
        <w:rPr>
          <w:rFonts w:ascii="宋体" w:hAnsi="宋体"/>
          <w:szCs w:val="21"/>
        </w:rPr>
      </w:pPr>
    </w:p>
    <w:p w14:paraId="5AF716D8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53066990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7446760E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4BDE70F8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0B32FE57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DF933C4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71FAFCE4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308175A3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8EE3E1D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2F34F885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169EAF80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39820980">
      <w:pPr>
        <w:spacing w:line="360" w:lineRule="auto"/>
        <w:jc w:val="left"/>
        <w:rPr>
          <w:rFonts w:hint="default" w:ascii="宋体" w:hAnsi="宋体" w:eastAsiaTheme="minorEastAsia"/>
          <w:sz w:val="28"/>
          <w:szCs w:val="24"/>
          <w:lang w:val="en-US" w:eastAsia="zh-CN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2：</w:t>
      </w:r>
    </w:p>
    <w:p w14:paraId="22B3BB16">
      <w:pPr>
        <w:spacing w:line="360" w:lineRule="auto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授权委托书</w:t>
      </w:r>
    </w:p>
    <w:p w14:paraId="60059001">
      <w:pPr>
        <w:spacing w:line="360" w:lineRule="auto"/>
        <w:ind w:firstLine="420" w:firstLineChars="200"/>
        <w:rPr>
          <w:rFonts w:ascii="宋体" w:hAnsi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致：</w:t>
      </w:r>
      <w:r>
        <w:rPr>
          <w:rFonts w:hint="eastAsia" w:ascii="宋体" w:hAnsi="宋体"/>
          <w:szCs w:val="21"/>
          <w:u w:val="single"/>
        </w:rPr>
        <w:t>天津市管道工程集团有限公司</w:t>
      </w:r>
    </w:p>
    <w:p w14:paraId="1E46204B">
      <w:pPr>
        <w:spacing w:line="360" w:lineRule="auto"/>
        <w:ind w:firstLine="420" w:firstLineChars="200"/>
        <w:rPr>
          <w:rFonts w:ascii="宋体" w:hAnsi="宋体" w:cs="宋体"/>
          <w:szCs w:val="21"/>
          <w:u w:val="single"/>
        </w:rPr>
      </w:pPr>
    </w:p>
    <w:p w14:paraId="5E9F36B1">
      <w:pPr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本授权书声明：注册于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                   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（国家或地区）的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  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（报价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>名称）的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（法人代表姓名、职务）代表本公司授权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（被授权人的姓名、职务）为本公司合法代表人，就</w:t>
      </w:r>
      <w:r>
        <w:rPr>
          <w:rFonts w:hint="eastAsia" w:ascii="宋体" w:hAnsi="宋体"/>
          <w:b/>
          <w:color w:val="FF0000"/>
          <w:szCs w:val="21"/>
          <w:u w:val="single"/>
          <w:lang w:val="en-US" w:eastAsia="zh-CN"/>
        </w:rPr>
        <w:t xml:space="preserve">         （项目名称）   </w:t>
      </w:r>
      <w:r>
        <w:rPr>
          <w:rFonts w:hint="eastAsia" w:ascii="宋体" w:hAnsi="宋体"/>
          <w:b/>
          <w:color w:val="FF0000"/>
          <w:szCs w:val="21"/>
          <w:u w:val="single"/>
          <w:lang w:val="en-US" w:eastAsia="zh-CN"/>
        </w:rPr>
        <w:tab/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的报价和合同执行，以我方的名义处理一切与之有关的事宜。</w:t>
      </w:r>
    </w:p>
    <w:p w14:paraId="29F0FEA3">
      <w:pPr>
        <w:spacing w:line="360" w:lineRule="auto"/>
        <w:jc w:val="left"/>
        <w:rPr>
          <w:rFonts w:ascii="宋体" w:hAnsi="宋体"/>
          <w:szCs w:val="21"/>
        </w:rPr>
      </w:pPr>
    </w:p>
    <w:p w14:paraId="61A5C0A4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</w:t>
      </w:r>
      <w:r>
        <w:rPr>
          <w:rFonts w:hint="eastAsia" w:ascii="宋体" w:hAnsi="宋体"/>
          <w:szCs w:val="21"/>
          <w:lang w:eastAsia="zh-CN"/>
        </w:rPr>
        <w:t>单位</w:t>
      </w:r>
      <w:r>
        <w:rPr>
          <w:rFonts w:hint="eastAsia" w:ascii="宋体" w:hAnsi="宋体"/>
          <w:szCs w:val="21"/>
        </w:rPr>
        <w:t xml:space="preserve">（盖章）： 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4308FC8C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</w:t>
      </w:r>
      <w:r>
        <w:rPr>
          <w:rFonts w:hint="eastAsia" w:ascii="宋体" w:hAnsi="宋体"/>
          <w:szCs w:val="21"/>
          <w:lang w:eastAsia="zh-CN"/>
        </w:rPr>
        <w:t>（负责人）</w:t>
      </w:r>
      <w:r>
        <w:rPr>
          <w:rFonts w:hint="eastAsia" w:ascii="宋体" w:hAnsi="宋体"/>
          <w:szCs w:val="21"/>
        </w:rPr>
        <w:t>：（签字）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</w:p>
    <w:p w14:paraId="3CA189EF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2599B7F8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被授权人：（签字）</w:t>
      </w:r>
      <w:r>
        <w:rPr>
          <w:rFonts w:hint="eastAsia" w:ascii="宋体" w:hAnsi="宋体"/>
          <w:szCs w:val="21"/>
          <w:u w:val="single"/>
        </w:rPr>
        <w:t xml:space="preserve">                             </w:t>
      </w:r>
    </w:p>
    <w:p w14:paraId="3145BC72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职务：</w:t>
      </w:r>
      <w:r>
        <w:rPr>
          <w:rFonts w:hint="eastAsia" w:ascii="宋体" w:hAnsi="宋体"/>
          <w:szCs w:val="21"/>
          <w:u w:val="single"/>
        </w:rPr>
        <w:t xml:space="preserve">                              </w:t>
      </w:r>
    </w:p>
    <w:p w14:paraId="5DDBA24D">
      <w:pPr>
        <w:spacing w:line="360" w:lineRule="auto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    </w:t>
      </w:r>
    </w:p>
    <w:p w14:paraId="2D4B8949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附被授权人身份证正反面照片</w:t>
      </w:r>
    </w:p>
    <w:p w14:paraId="681657AC">
      <w:pPr>
        <w:spacing w:line="360" w:lineRule="auto"/>
        <w:jc w:val="left"/>
        <w:rPr>
          <w:rFonts w:hint="eastAsia" w:ascii="宋体" w:hAnsi="宋体"/>
          <w:sz w:val="28"/>
          <w:szCs w:val="24"/>
        </w:rPr>
      </w:pPr>
    </w:p>
    <w:p w14:paraId="4CB6D6D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B7030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3FAF354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2B5D2B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22820874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0015ED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19E51530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4848DAE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F4D3EA1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79D542D2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66E37BB9">
      <w:pPr>
        <w:spacing w:line="360" w:lineRule="auto"/>
        <w:jc w:val="left"/>
        <w:rPr>
          <w:rFonts w:hint="eastAsia" w:ascii="宋体" w:hAnsi="宋体"/>
          <w:szCs w:val="21"/>
        </w:rPr>
      </w:pPr>
    </w:p>
    <w:p w14:paraId="410FD75A">
      <w:pPr>
        <w:pStyle w:val="13"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B4A8557">
      <w:pPr>
        <w:spacing w:line="360" w:lineRule="auto"/>
        <w:jc w:val="both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3：</w:t>
      </w:r>
    </w:p>
    <w:p w14:paraId="75CBF2E8">
      <w:pPr>
        <w:spacing w:line="360" w:lineRule="auto"/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报价清单</w:t>
      </w:r>
    </w:p>
    <w:p w14:paraId="7FC8A3E9">
      <w:pPr>
        <w:pStyle w:val="13"/>
        <w:ind w:left="0" w:leftChars="0" w:firstLine="0" w:firstLineChars="0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 w:ascii="宋体" w:hAnsi="宋体"/>
          <w:b/>
          <w:sz w:val="21"/>
          <w:szCs w:val="21"/>
          <w:lang w:eastAsia="zh-CN"/>
        </w:rPr>
        <w:t>项目名称：</w:t>
      </w:r>
    </w:p>
    <w:p w14:paraId="3D71B0FD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258D9EC2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（此处附报价清单</w:t>
      </w:r>
      <w:r>
        <w:rPr>
          <w:rFonts w:hint="eastAsia" w:ascii="宋体" w:hAnsi="宋体"/>
          <w:b/>
          <w:szCs w:val="21"/>
          <w:lang w:eastAsia="zh-CN"/>
        </w:rPr>
        <w:t>，格式自拟</w:t>
      </w:r>
      <w:r>
        <w:rPr>
          <w:rFonts w:hint="eastAsia" w:ascii="宋体" w:hAnsi="宋体"/>
          <w:b/>
          <w:szCs w:val="21"/>
        </w:rPr>
        <w:t>）</w:t>
      </w:r>
    </w:p>
    <w:p w14:paraId="25FA9183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6B372C5A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7A58A128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28409B2F"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 w14:paraId="49E1DF61">
      <w:pPr>
        <w:adjustRightInd w:val="0"/>
        <w:snapToGrid w:val="0"/>
        <w:spacing w:line="360" w:lineRule="auto"/>
        <w:rPr>
          <w:rFonts w:ascii="宋体" w:hAnsi="宋体"/>
          <w:b/>
          <w:szCs w:val="21"/>
        </w:rPr>
      </w:pPr>
    </w:p>
    <w:p w14:paraId="5A048E83"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  <w:r>
        <w:rPr>
          <w:rFonts w:ascii="宋体" w:hAnsi="宋体"/>
          <w:b/>
          <w:szCs w:val="21"/>
        </w:rPr>
        <w:t>总价：</w:t>
      </w:r>
      <w:r>
        <w:rPr>
          <w:rFonts w:hint="eastAsia" w:ascii="宋体" w:hAnsi="宋体"/>
          <w:szCs w:val="21"/>
          <w:u w:val="single"/>
        </w:rPr>
        <w:t xml:space="preserve">                         </w:t>
      </w:r>
      <w:r>
        <w:rPr>
          <w:rFonts w:hint="eastAsia" w:ascii="宋体" w:hAnsi="宋体"/>
          <w:szCs w:val="21"/>
        </w:rPr>
        <w:t>元</w:t>
      </w:r>
    </w:p>
    <w:p w14:paraId="1CA65E13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报价人（盖章）：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 w14:paraId="477B4FA7">
      <w:pPr>
        <w:spacing w:line="360" w:lineRule="auto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法定代表人</w:t>
      </w:r>
      <w:r>
        <w:rPr>
          <w:rFonts w:hint="eastAsia" w:ascii="宋体" w:hAnsi="宋体"/>
          <w:szCs w:val="21"/>
          <w:lang w:eastAsia="zh-CN"/>
        </w:rPr>
        <w:t>（负责人）</w:t>
      </w:r>
      <w:r>
        <w:rPr>
          <w:rFonts w:hint="eastAsia" w:ascii="宋体" w:hAnsi="宋体"/>
          <w:szCs w:val="21"/>
        </w:rPr>
        <w:t>：（签字）</w:t>
      </w:r>
      <w:r>
        <w:rPr>
          <w:rFonts w:hint="eastAsia" w:ascii="宋体" w:hAnsi="宋体"/>
          <w:szCs w:val="21"/>
          <w:u w:val="single"/>
        </w:rPr>
        <w:t xml:space="preserve">                        </w:t>
      </w:r>
    </w:p>
    <w:p w14:paraId="08FABAF9">
      <w:pPr>
        <w:spacing w:line="360" w:lineRule="auto"/>
        <w:jc w:val="left"/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单位地址：</w:t>
      </w:r>
      <w:r>
        <w:rPr>
          <w:rFonts w:hint="eastAsia" w:ascii="宋体" w:hAnsi="宋体"/>
          <w:szCs w:val="21"/>
          <w:u w:val="single"/>
        </w:rPr>
        <w:t xml:space="preserve">                            </w:t>
      </w:r>
    </w:p>
    <w:p w14:paraId="2867DD2B">
      <w:pPr>
        <w:spacing w:line="360" w:lineRule="auto"/>
        <w:jc w:val="left"/>
        <w:rPr>
          <w:rFonts w:hint="eastAsia" w:ascii="宋体" w:hAnsi="宋体" w:cs="Arial"/>
          <w:szCs w:val="21"/>
        </w:rPr>
      </w:pPr>
      <w:r>
        <w:rPr>
          <w:rFonts w:ascii="宋体" w:hAnsi="宋体" w:cs="Arial"/>
          <w:szCs w:val="21"/>
        </w:rPr>
        <w:t>日期：</w:t>
      </w:r>
      <w:r>
        <w:rPr>
          <w:rFonts w:hint="eastAsia" w:ascii="宋体" w:hAnsi="宋体" w:cs="Arial"/>
          <w:szCs w:val="21"/>
          <w:u w:val="single"/>
        </w:rPr>
        <w:t xml:space="preserve">                           </w:t>
      </w:r>
    </w:p>
    <w:p w14:paraId="170425C5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3C0B5D0C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772C4FE7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05E3E3B1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4E256398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0A7F264B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50E32224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41954336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4509ADEB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44E83262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342E0E38">
      <w:pPr>
        <w:spacing w:line="360" w:lineRule="auto"/>
        <w:jc w:val="left"/>
        <w:rPr>
          <w:rFonts w:hint="eastAsia" w:ascii="宋体" w:hAnsi="宋体"/>
          <w:sz w:val="28"/>
          <w:szCs w:val="24"/>
          <w:lang w:eastAsia="zh-CN"/>
        </w:rPr>
      </w:pPr>
    </w:p>
    <w:p w14:paraId="000FCA8D">
      <w:pPr>
        <w:spacing w:line="360" w:lineRule="auto"/>
        <w:jc w:val="left"/>
        <w:rPr>
          <w:rFonts w:hint="eastAsia" w:ascii="仿宋" w:hAnsi="仿宋" w:eastAsia="仿宋" w:cs="仿宋"/>
          <w:b/>
          <w:sz w:val="36"/>
          <w:szCs w:val="36"/>
          <w:highlight w:val="yellow"/>
        </w:rPr>
      </w:pPr>
      <w:r>
        <w:rPr>
          <w:rFonts w:hint="eastAsia" w:ascii="宋体" w:hAnsi="宋体"/>
          <w:sz w:val="28"/>
          <w:szCs w:val="24"/>
          <w:lang w:eastAsia="zh-CN"/>
        </w:rPr>
        <w:t>附件</w:t>
      </w:r>
      <w:r>
        <w:rPr>
          <w:rFonts w:hint="eastAsia" w:ascii="宋体" w:hAnsi="宋体"/>
          <w:sz w:val="28"/>
          <w:szCs w:val="24"/>
          <w:lang w:val="en-US" w:eastAsia="zh-CN"/>
        </w:rPr>
        <w:t>4：</w:t>
      </w:r>
    </w:p>
    <w:p w14:paraId="305A46BE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highlight w:val="none"/>
        </w:rPr>
        <w:t>廉政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  <w:t>承诺书</w:t>
      </w:r>
    </w:p>
    <w:p w14:paraId="0B433124">
      <w:pPr>
        <w:snapToGrid w:val="0"/>
        <w:spacing w:line="240" w:lineRule="auto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lang w:val="en-US" w:eastAsia="zh-CN"/>
        </w:rPr>
      </w:pPr>
    </w:p>
    <w:p w14:paraId="4210F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：天津市管道工程集团有限公司</w:t>
      </w:r>
    </w:p>
    <w:p w14:paraId="2EEE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</w:t>
      </w:r>
    </w:p>
    <w:p w14:paraId="57D4E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我方根据已收到的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文件，为加强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廉政建设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经研究决定就以下内容分别做出承诺：</w:t>
      </w:r>
    </w:p>
    <w:p w14:paraId="73B3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应严格遵守国家关于招标采购的有关法律、法规，相关政策，以及廉政建设的各项规定。</w:t>
      </w:r>
    </w:p>
    <w:p w14:paraId="6613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严格执行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采购合同文件，自觉按合同办事。</w:t>
      </w:r>
    </w:p>
    <w:p w14:paraId="597C4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各项活动必须坚持公开、公平、公正、诚信、透明的原则（除法律法规另有规定者外），不得为获取不正当的利益，损害国家、集体和对方利益，不得违反招标采购管理的规章制度。</w:t>
      </w:r>
    </w:p>
    <w:p w14:paraId="31034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发现对方在业务活动中有违规、违纪、违法行为的，应及时提醒对方，情节严重的，应向其上级主管部门或纪检监察、司法等有关机关举报。</w:t>
      </w:r>
    </w:p>
    <w:p w14:paraId="3BC00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应与发包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保持正常的业务交往，按照有关法律法规和程序开展业务工作，严格执行招标采购的有关方针、政策，执行工程建设强制性标准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35B6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不得以任何理由向发包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及其工作人员赠送礼金、有价证券、贵重物品及回扣、好处费、感谢费等。</w:t>
      </w:r>
    </w:p>
    <w:p w14:paraId="1706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和相关单位报销应由对方或个人支付的费用。</w:t>
      </w:r>
    </w:p>
    <w:p w14:paraId="53D55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不得接受或暗示为发包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、相关单位或个人装修住房、婚丧嫁娶、配偶子女的工作安排以及出国（境）、旅游等提供方便。</w:t>
      </w:r>
    </w:p>
    <w:p w14:paraId="39E2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不得以任何理由为发包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、相关单位或个人组织有可能影响公正执行公务的宴请、健身、娱乐等活动。</w:t>
      </w:r>
    </w:p>
    <w:p w14:paraId="70DD11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10、禁止报价方间串通投标，影响公平竞争，损害发包方或者其他报价方的合法权益。</w:t>
      </w:r>
    </w:p>
    <w:p w14:paraId="14569C4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报价方应公平竞争，维护市场秩序。报价方间的下列行为应受禁止：</w:t>
      </w:r>
    </w:p>
    <w:p w14:paraId="435190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（1）报价方之间协商投标报价等报价文件的实质性内容；</w:t>
      </w:r>
    </w:p>
    <w:p w14:paraId="3A4C3C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（2）报价方之间约定中标人；</w:t>
      </w:r>
    </w:p>
    <w:p w14:paraId="14FA40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（3）报价方之间约定部分报价方放弃报价或者中标；</w:t>
      </w:r>
    </w:p>
    <w:p w14:paraId="0826B5C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（4）属于同一集团、协会、商会等组织成员的报价方按照该组织要求协同投标；</w:t>
      </w:r>
    </w:p>
    <w:p w14:paraId="56945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（5）报价方之间为谋取中标或者排斥特定报价方而采取的其他联合行动；</w:t>
      </w:r>
    </w:p>
    <w:p w14:paraId="189A56D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（6）不同报价方的报价文件由同一单位或者个人编制；</w:t>
      </w:r>
    </w:p>
    <w:p w14:paraId="58A8A58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（7）不同报价方委托同一单位或者个人办理投标事宜；</w:t>
      </w:r>
    </w:p>
    <w:p w14:paraId="765C23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（8）不同报价方的报价文件载明的项目管理成员为同一人；</w:t>
      </w:r>
    </w:p>
    <w:p w14:paraId="4B40A9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（9）不同报价方的报价文件异常一致或者报价呈规律性差异；</w:t>
      </w:r>
    </w:p>
    <w:p w14:paraId="7D75C9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（10）不同报价方的报价文件相互混装；</w:t>
      </w:r>
    </w:p>
    <w:p w14:paraId="30E5B9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"/>
        </w:rPr>
        <w:t>（11）不同报价方的报价保证金从同一单位或者个人的账户转出。</w:t>
      </w:r>
    </w:p>
    <w:p w14:paraId="5ADA9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07B1F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人：（公章）</w:t>
      </w:r>
    </w:p>
    <w:p w14:paraId="73BE9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5280" w:hanging="5280" w:hangingChars="165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法定地址：</w:t>
      </w:r>
    </w:p>
    <w:p w14:paraId="74EDD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法定代表人或其</w:t>
      </w:r>
    </w:p>
    <w:p w14:paraId="6C976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委托代理人：（签字）</w:t>
      </w:r>
    </w:p>
    <w:p w14:paraId="5E5FAAC9">
      <w:pPr>
        <w:pStyle w:val="13"/>
        <w:ind w:left="0" w:leftChars="0" w:firstLine="0" w:firstLineChars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8461A2"/>
    <w:multiLevelType w:val="singleLevel"/>
    <w:tmpl w:val="2C8461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86EE6"/>
    <w:rsid w:val="0795516F"/>
    <w:rsid w:val="08F10180"/>
    <w:rsid w:val="0A850ED4"/>
    <w:rsid w:val="0C041226"/>
    <w:rsid w:val="0F5E30C6"/>
    <w:rsid w:val="10871D2C"/>
    <w:rsid w:val="17482EC3"/>
    <w:rsid w:val="18332EDD"/>
    <w:rsid w:val="1B365886"/>
    <w:rsid w:val="1BFD141A"/>
    <w:rsid w:val="1DCE6BE1"/>
    <w:rsid w:val="1E0C6EC2"/>
    <w:rsid w:val="1FF0039F"/>
    <w:rsid w:val="21482E8D"/>
    <w:rsid w:val="241C7271"/>
    <w:rsid w:val="28880BA4"/>
    <w:rsid w:val="28C23448"/>
    <w:rsid w:val="297F08E8"/>
    <w:rsid w:val="2A327433"/>
    <w:rsid w:val="2B9B3D68"/>
    <w:rsid w:val="2D166461"/>
    <w:rsid w:val="2FD90B9F"/>
    <w:rsid w:val="314F5CC2"/>
    <w:rsid w:val="321F0C75"/>
    <w:rsid w:val="349412EC"/>
    <w:rsid w:val="35040F15"/>
    <w:rsid w:val="394F6377"/>
    <w:rsid w:val="3A8D5AC7"/>
    <w:rsid w:val="443107FD"/>
    <w:rsid w:val="455F6F78"/>
    <w:rsid w:val="4646138E"/>
    <w:rsid w:val="48123C29"/>
    <w:rsid w:val="4A195E34"/>
    <w:rsid w:val="4B1565C1"/>
    <w:rsid w:val="4FE77439"/>
    <w:rsid w:val="50193C46"/>
    <w:rsid w:val="51EB733B"/>
    <w:rsid w:val="52FA0339"/>
    <w:rsid w:val="534A33F9"/>
    <w:rsid w:val="53D06B7B"/>
    <w:rsid w:val="55C258D2"/>
    <w:rsid w:val="57446AAD"/>
    <w:rsid w:val="59DA16E4"/>
    <w:rsid w:val="5C453973"/>
    <w:rsid w:val="5CA9167B"/>
    <w:rsid w:val="5CBD3D35"/>
    <w:rsid w:val="60DC4DD2"/>
    <w:rsid w:val="61016540"/>
    <w:rsid w:val="63391D8F"/>
    <w:rsid w:val="653A6651"/>
    <w:rsid w:val="66946D3F"/>
    <w:rsid w:val="67A12F43"/>
    <w:rsid w:val="6905500A"/>
    <w:rsid w:val="699979A2"/>
    <w:rsid w:val="6B744CDD"/>
    <w:rsid w:val="6D071CC8"/>
    <w:rsid w:val="7ABB4E29"/>
    <w:rsid w:val="7EFA5111"/>
    <w:rsid w:val="7F260101"/>
    <w:rsid w:val="7F46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kinsoku/>
      <w:autoSpaceDE/>
      <w:autoSpaceDN/>
      <w:adjustRightInd/>
      <w:snapToGrid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正文格式"/>
    <w:basedOn w:val="1"/>
    <w:qFormat/>
    <w:uiPriority w:val="0"/>
    <w:pPr>
      <w:adjustRightInd w:val="0"/>
      <w:snapToGrid w:val="0"/>
      <w:spacing w:line="400" w:lineRule="atLeast"/>
      <w:ind w:firstLine="482"/>
    </w:pPr>
    <w:rPr>
      <w:kern w:val="0"/>
      <w:sz w:val="24"/>
      <w:szCs w:val="24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paragraph" w:customStyle="1" w:styleId="15">
    <w:name w:val="正文 A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1368</Words>
  <Characters>1483</Characters>
  <Lines>0</Lines>
  <Paragraphs>0</Paragraphs>
  <TotalTime>5</TotalTime>
  <ScaleCrop>false</ScaleCrop>
  <LinksUpToDate>false</LinksUpToDate>
  <CharactersWithSpaces>1486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2023-04-23T01:36:00Z</dcterms:created>
  <dc:creator>Administrator</dc:creator>
  <cp:lastModifiedBy>Dell</cp:lastModifiedBy>
  <cp:lastPrinted>2023-08-07T06:04:00Z</cp:lastPrinted>
  <dcterms:modified xsi:type="dcterms:W3CDTF">2026-06-02T08:38:45Z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99D23B0C50444CCCA7908C593A7935D6_13</vt:lpwstr>
  </property>
  <property fmtid="{D5CDD505-2E9C-101B-9397-08002B2CF9AE}" pid="4" name="KSOTemplateDocerSaveRecord">
    <vt:lpwstr>eyJoZGlkIjoiNDY3NzVjMzZmNTJiOGRkM2Y5ODBjODliMTQ2YWQ0ZGEiLCJ1c2VySWQiOiIxNzY2MjkyNDA4In0=</vt:lpwstr>
  </property>
</Properties>
</file>