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94325">
      <w:pPr>
        <w:jc w:val="center"/>
        <w:rPr>
          <w:rFonts w:hint="eastAsia" w:ascii="微软雅黑" w:hAnsi="微软雅黑" w:eastAsia="微软雅黑"/>
          <w:color w:val="auto"/>
          <w:sz w:val="32"/>
          <w:szCs w:val="32"/>
          <w:highlight w:val="none"/>
        </w:rPr>
      </w:pPr>
      <w:bookmarkStart w:id="3" w:name="_GoBack"/>
      <w:r>
        <w:rPr>
          <w:rStyle w:val="22"/>
          <w:rFonts w:hint="eastAsia" w:ascii="微软雅黑" w:hAnsi="微软雅黑" w:eastAsia="微软雅黑"/>
          <w:color w:val="auto"/>
          <w:sz w:val="32"/>
          <w:szCs w:val="32"/>
          <w:highlight w:val="none"/>
        </w:rPr>
        <w:t>天津水务集团有限公司</w:t>
      </w:r>
    </w:p>
    <w:p w14:paraId="3BA233DF">
      <w:pPr>
        <w:jc w:val="center"/>
        <w:rPr>
          <w:rFonts w:hint="eastAsia" w:ascii="微软雅黑" w:hAnsi="微软雅黑" w:eastAsia="微软雅黑"/>
          <w:color w:val="auto"/>
          <w:sz w:val="32"/>
          <w:szCs w:val="32"/>
          <w:highlight w:val="none"/>
        </w:rPr>
      </w:pPr>
      <w:r>
        <w:rPr>
          <w:rStyle w:val="22"/>
          <w:rFonts w:hint="eastAsia" w:ascii="微软雅黑" w:hAnsi="微软雅黑" w:eastAsia="微软雅黑"/>
          <w:color w:val="auto"/>
          <w:sz w:val="32"/>
          <w:szCs w:val="32"/>
          <w:highlight w:val="none"/>
        </w:rPr>
        <w:t>询价文件</w:t>
      </w:r>
    </w:p>
    <w:p w14:paraId="1DA36EEA">
      <w:pPr>
        <w:pStyle w:val="26"/>
        <w:numPr>
          <w:ilvl w:val="0"/>
          <w:numId w:val="2"/>
        </w:numPr>
        <w:spacing w:line="360" w:lineRule="auto"/>
        <w:ind w:left="0" w:leftChars="0" w:firstLine="480" w:firstLineChars="200"/>
        <w:contextualSpacing/>
        <w:rPr>
          <w:rFonts w:hint="eastAsia"/>
          <w:color w:val="auto"/>
          <w:highlight w:val="none"/>
        </w:rPr>
      </w:pPr>
      <w:r>
        <w:rPr>
          <w:rFonts w:hint="eastAsia"/>
          <w:color w:val="auto"/>
          <w:highlight w:val="none"/>
        </w:rPr>
        <w:t>项目需求：</w:t>
      </w:r>
    </w:p>
    <w:p w14:paraId="36A8FB1E">
      <w:pPr>
        <w:pStyle w:val="26"/>
        <w:numPr>
          <w:ilvl w:val="-1"/>
          <w:numId w:val="0"/>
        </w:numPr>
        <w:spacing w:line="360" w:lineRule="auto"/>
        <w:ind w:left="0" w:leftChars="0" w:firstLine="480" w:firstLineChars="200"/>
        <w:contextualSpacing/>
        <w:rPr>
          <w:rStyle w:val="33"/>
          <w:rFonts w:hint="eastAsia" w:cs="宋体"/>
          <w:color w:val="auto"/>
          <w:highlight w:val="none"/>
          <w:lang w:val="en-US" w:eastAsia="zh-CN"/>
        </w:rPr>
      </w:pPr>
      <w:r>
        <w:rPr>
          <w:rStyle w:val="33"/>
          <w:rFonts w:hint="eastAsia" w:ascii="宋体" w:hAnsi="宋体" w:eastAsia="宋体" w:cs="宋体"/>
          <w:color w:val="auto"/>
          <w:highlight w:val="none"/>
        </w:rPr>
        <w:t>（SW-ZB-F-2026-0025）天津水务集团有限公司建设项目工程质量飞检服务</w:t>
      </w:r>
      <w:r>
        <w:rPr>
          <w:rStyle w:val="33"/>
          <w:rFonts w:hint="eastAsia" w:cs="宋体"/>
          <w:color w:val="auto"/>
          <w:highlight w:val="none"/>
          <w:lang w:val="en-US" w:eastAsia="zh-CN"/>
        </w:rPr>
        <w:t>：</w:t>
      </w:r>
    </w:p>
    <w:p w14:paraId="630B3040">
      <w:pPr>
        <w:pStyle w:val="26"/>
        <w:numPr>
          <w:ilvl w:val="-1"/>
          <w:numId w:val="0"/>
        </w:numPr>
        <w:spacing w:line="360" w:lineRule="auto"/>
        <w:ind w:left="372" w:leftChars="177" w:firstLine="0" w:firstLineChars="0"/>
        <w:contextualSpacing/>
        <w:rPr>
          <w:rFonts w:hint="eastAsia"/>
          <w:color w:val="auto"/>
          <w:highlight w:val="none"/>
          <w:lang w:val="en-US" w:eastAsia="zh-CN"/>
        </w:rPr>
      </w:pPr>
      <w:r>
        <w:rPr>
          <w:rStyle w:val="33"/>
          <w:rFonts w:hint="eastAsia" w:cs="宋体"/>
          <w:color w:val="auto"/>
          <w:highlight w:val="none"/>
          <w:lang w:val="en-US" w:eastAsia="zh-CN"/>
        </w:rPr>
        <w:t>通过委托符合资质要求的第三方检测单位对工程关键部位及施工重要环节开展抽样检测,协助发现潜在的质量问</w:t>
      </w:r>
      <w:r>
        <w:rPr>
          <w:rStyle w:val="33"/>
          <w:color w:val="auto"/>
          <w:highlight w:val="none"/>
        </w:rPr>
        <w:t>题,提高质量监管工作的科学性和准确性。</w:t>
      </w:r>
    </w:p>
    <w:p w14:paraId="725267F9">
      <w:pPr>
        <w:pStyle w:val="26"/>
        <w:numPr>
          <w:ilvl w:val="-1"/>
          <w:numId w:val="0"/>
        </w:numPr>
        <w:spacing w:line="360" w:lineRule="auto"/>
        <w:ind w:left="372" w:leftChars="177" w:firstLine="0" w:firstLineChars="0"/>
        <w:contextualSpacing/>
        <w:rPr>
          <w:rFonts w:hint="eastAsia"/>
          <w:color w:val="auto"/>
          <w:highlight w:val="none"/>
        </w:rPr>
      </w:pPr>
      <w:r>
        <w:rPr>
          <w:rFonts w:hint="eastAsia"/>
          <w:color w:val="auto"/>
          <w:highlight w:val="none"/>
          <w:lang w:val="en-US" w:eastAsia="zh-CN"/>
        </w:rPr>
        <w:t>二、</w:t>
      </w:r>
      <w:r>
        <w:rPr>
          <w:rFonts w:hint="eastAsia"/>
          <w:color w:val="auto"/>
          <w:highlight w:val="none"/>
        </w:rPr>
        <w:t>资格要求：</w:t>
      </w:r>
    </w:p>
    <w:p w14:paraId="4CF62EAC">
      <w:pPr>
        <w:pStyle w:val="26"/>
        <w:numPr>
          <w:ilvl w:val="-1"/>
          <w:numId w:val="0"/>
        </w:numPr>
        <w:spacing w:line="360" w:lineRule="auto"/>
        <w:ind w:left="0" w:leftChars="0" w:firstLine="480" w:firstLineChars="200"/>
        <w:contextualSpacing/>
        <w:jc w:val="left"/>
        <w:rPr>
          <w:rFonts w:hint="eastAsia"/>
          <w:color w:val="auto"/>
          <w:highlight w:val="none"/>
        </w:rPr>
      </w:pPr>
      <w:r>
        <w:rPr>
          <w:rFonts w:hint="eastAsia"/>
          <w:color w:val="auto"/>
          <w:highlight w:val="none"/>
          <w:lang w:val="en-US" w:eastAsia="zh-CN"/>
        </w:rPr>
        <w:t>1.</w:t>
      </w:r>
      <w:bookmarkStart w:id="0" w:name="_Hlk155278207"/>
      <w:bookmarkStart w:id="1" w:name="_Hlk155278269"/>
      <w:r>
        <w:rPr>
          <w:rFonts w:hint="eastAsia"/>
          <w:color w:val="auto"/>
          <w:highlight w:val="none"/>
        </w:rPr>
        <w:t>具有营业执照副本或事业单位法人证书或民办非企业单位登记证书或社会团体法人登记证书或基金会法人登记证书,且在有效期内</w:t>
      </w:r>
      <w:r>
        <w:rPr>
          <w:rFonts w:hint="eastAsia"/>
          <w:color w:val="auto"/>
          <w:highlight w:val="none"/>
          <w:lang w:val="en-US" w:eastAsia="zh-CN"/>
        </w:rPr>
        <w:t>；</w:t>
      </w:r>
    </w:p>
    <w:p w14:paraId="796BDB78">
      <w:pPr>
        <w:pStyle w:val="26"/>
        <w:numPr>
          <w:ilvl w:val="-1"/>
          <w:numId w:val="0"/>
        </w:numPr>
        <w:spacing w:line="360" w:lineRule="auto"/>
        <w:ind w:left="0" w:leftChars="0" w:firstLine="480" w:firstLineChars="200"/>
        <w:contextualSpacing/>
        <w:jc w:val="left"/>
        <w:rPr>
          <w:rFonts w:hint="eastAsia"/>
          <w:color w:val="auto"/>
          <w:highlight w:val="none"/>
          <w:lang w:eastAsia="zh-CN"/>
        </w:rPr>
      </w:pPr>
      <w:r>
        <w:rPr>
          <w:rFonts w:hint="eastAsia"/>
          <w:color w:val="auto"/>
          <w:highlight w:val="none"/>
          <w:lang w:val="en-US" w:eastAsia="zh-CN"/>
        </w:rPr>
        <w:t>2.</w:t>
      </w:r>
      <w:r>
        <w:rPr>
          <w:rFonts w:hint="eastAsia"/>
          <w:color w:val="auto"/>
          <w:highlight w:val="none"/>
        </w:rPr>
        <w:t>具有水利工程质量检测单位甲级资质,且在有效期内</w:t>
      </w:r>
      <w:r>
        <w:rPr>
          <w:rFonts w:hint="eastAsia"/>
          <w:color w:val="auto"/>
          <w:highlight w:val="none"/>
          <w:lang w:eastAsia="zh-CN"/>
        </w:rPr>
        <w:t>；</w:t>
      </w:r>
    </w:p>
    <w:p w14:paraId="4709C813">
      <w:pPr>
        <w:pStyle w:val="26"/>
        <w:numPr>
          <w:ilvl w:val="-1"/>
          <w:numId w:val="0"/>
        </w:numPr>
        <w:spacing w:line="360" w:lineRule="auto"/>
        <w:ind w:left="0" w:leftChars="0" w:firstLine="480" w:firstLineChars="200"/>
        <w:contextualSpacing/>
        <w:jc w:val="left"/>
        <w:rPr>
          <w:rFonts w:hint="eastAsia" w:eastAsia="宋体"/>
          <w:color w:val="auto"/>
          <w:highlight w:val="none"/>
          <w:lang w:val="en-US" w:eastAsia="zh-CN"/>
        </w:rPr>
      </w:pPr>
      <w:r>
        <w:rPr>
          <w:rFonts w:hint="eastAsia"/>
          <w:color w:val="auto"/>
          <w:highlight w:val="none"/>
          <w:lang w:val="en-US" w:eastAsia="zh-CN"/>
        </w:rPr>
        <w:t>3.</w:t>
      </w:r>
      <w:r>
        <w:rPr>
          <w:rFonts w:hint="eastAsia"/>
          <w:color w:val="auto"/>
          <w:highlight w:val="none"/>
        </w:rPr>
        <w:t>拟投入本项目工作的质量检测人员须具有《水利工程质量检测员资格证书》,其注明的专业类别,能够包括拟承担的质量检测业务</w:t>
      </w:r>
      <w:r>
        <w:rPr>
          <w:rFonts w:hint="eastAsia"/>
          <w:color w:val="auto"/>
          <w:highlight w:val="none"/>
          <w:lang w:eastAsia="zh-CN"/>
        </w:rPr>
        <w:t>；</w:t>
      </w:r>
    </w:p>
    <w:p w14:paraId="3D103D48">
      <w:pPr>
        <w:pStyle w:val="26"/>
        <w:numPr>
          <w:ilvl w:val="-1"/>
          <w:numId w:val="0"/>
        </w:numPr>
        <w:spacing w:line="360" w:lineRule="auto"/>
        <w:ind w:left="0" w:leftChars="0" w:firstLine="480" w:firstLineChars="200"/>
        <w:contextualSpacing/>
        <w:jc w:val="left"/>
        <w:rPr>
          <w:rFonts w:hint="eastAsia"/>
          <w:color w:val="auto"/>
          <w:highlight w:val="none"/>
        </w:rPr>
      </w:pPr>
      <w:r>
        <w:rPr>
          <w:rFonts w:hint="eastAsia"/>
          <w:color w:val="auto"/>
          <w:highlight w:val="none"/>
          <w:lang w:val="en-US" w:eastAsia="zh-CN"/>
        </w:rPr>
        <w:t>4.</w:t>
      </w:r>
      <w:r>
        <w:rPr>
          <w:rFonts w:hint="eastAsia"/>
          <w:color w:val="auto"/>
          <w:highlight w:val="none"/>
        </w:rPr>
        <w:t>在“信用中国”网站(https://www.creditchina.gov.cn/)查询严重失信主体名单，未被列入名单并将查询结果截图加盖单位公章，见附图；</w:t>
      </w:r>
    </w:p>
    <w:p w14:paraId="0CD890BF">
      <w:pPr>
        <w:pStyle w:val="26"/>
        <w:numPr>
          <w:ilvl w:val="-1"/>
          <w:numId w:val="0"/>
        </w:numPr>
        <w:spacing w:line="360" w:lineRule="auto"/>
        <w:ind w:left="0" w:leftChars="0" w:firstLine="480" w:firstLineChars="200"/>
        <w:contextualSpacing/>
        <w:jc w:val="left"/>
        <w:rPr>
          <w:rFonts w:hint="eastAsia"/>
          <w:color w:val="auto"/>
          <w:highlight w:val="none"/>
        </w:rPr>
      </w:pPr>
      <w:r>
        <w:rPr>
          <w:rFonts w:hint="eastAsia"/>
          <w:color w:val="auto"/>
          <w:highlight w:val="none"/>
          <w:lang w:val="en-US" w:eastAsia="zh-CN"/>
        </w:rPr>
        <w:t>5.</w:t>
      </w:r>
      <w:r>
        <w:rPr>
          <w:rFonts w:hint="eastAsia"/>
          <w:color w:val="auto"/>
          <w:highlight w:val="none"/>
        </w:rPr>
        <w:t>仅限水务集团合格供应商库范围内（“津水云采”平台注册审核通过并购买且激活CA证书的供应商）；</w:t>
      </w:r>
    </w:p>
    <w:p w14:paraId="347D8263">
      <w:pPr>
        <w:pStyle w:val="26"/>
        <w:numPr>
          <w:ilvl w:val="-1"/>
          <w:numId w:val="0"/>
        </w:numPr>
        <w:spacing w:before="0" w:beforeAutospacing="0" w:after="0" w:afterAutospacing="0" w:line="360" w:lineRule="auto"/>
        <w:ind w:left="0" w:leftChars="0" w:firstLine="480" w:firstLineChars="200"/>
        <w:contextualSpacing/>
        <w:jc w:val="left"/>
        <w:rPr>
          <w:rFonts w:hint="eastAsia"/>
          <w:color w:val="auto"/>
          <w:highlight w:val="none"/>
        </w:rPr>
      </w:pPr>
      <w:r>
        <w:rPr>
          <w:rFonts w:hint="eastAsia"/>
          <w:color w:val="auto"/>
          <w:highlight w:val="none"/>
          <w:lang w:val="en-US" w:eastAsia="zh-CN"/>
        </w:rPr>
        <w:t>6.</w:t>
      </w:r>
      <w:r>
        <w:rPr>
          <w:rFonts w:hint="eastAsia"/>
          <w:color w:val="auto"/>
          <w:highlight w:val="none"/>
        </w:rPr>
        <w:t>本项目不允许联合体参与</w:t>
      </w:r>
      <w:r>
        <w:rPr>
          <w:rFonts w:hint="eastAsia"/>
          <w:color w:val="auto"/>
          <w:highlight w:val="none"/>
          <w:lang w:eastAsia="zh-CN"/>
        </w:rPr>
        <w:t>。</w:t>
      </w:r>
    </w:p>
    <w:bookmarkEnd w:id="0"/>
    <w:bookmarkEnd w:id="1"/>
    <w:p w14:paraId="08209235">
      <w:pPr>
        <w:pStyle w:val="26"/>
        <w:numPr>
          <w:ilvl w:val="-1"/>
          <w:numId w:val="0"/>
        </w:numPr>
        <w:spacing w:before="0" w:beforeAutospacing="0" w:after="0" w:afterAutospacing="0" w:line="500" w:lineRule="exact"/>
        <w:ind w:left="0" w:leftChars="0" w:firstLine="480" w:firstLineChars="200"/>
        <w:contextualSpacing/>
        <w:jc w:val="both"/>
        <w:rPr>
          <w:rFonts w:hint="eastAsia"/>
          <w:color w:val="auto"/>
          <w:highlight w:val="none"/>
        </w:rPr>
      </w:pPr>
      <w:r>
        <w:rPr>
          <w:rFonts w:hint="eastAsia"/>
          <w:color w:val="auto"/>
          <w:highlight w:val="none"/>
          <w:lang w:val="en-US" w:eastAsia="zh-CN"/>
        </w:rPr>
        <w:t>三、</w:t>
      </w:r>
      <w:r>
        <w:rPr>
          <w:rFonts w:hint="eastAsia"/>
          <w:color w:val="auto"/>
          <w:highlight w:val="none"/>
        </w:rPr>
        <w:t>服务期：自</w:t>
      </w:r>
      <w:r>
        <w:rPr>
          <w:rFonts w:hint="eastAsia"/>
          <w:color w:val="auto"/>
          <w:highlight w:val="none"/>
          <w:lang w:val="en-US" w:eastAsia="zh-CN"/>
        </w:rPr>
        <w:t>签订合同之日起至</w:t>
      </w:r>
      <w:r>
        <w:rPr>
          <w:rFonts w:hint="eastAsia"/>
          <w:color w:val="auto"/>
          <w:highlight w:val="none"/>
        </w:rPr>
        <w:t>202</w:t>
      </w:r>
      <w:r>
        <w:rPr>
          <w:rFonts w:hint="eastAsia"/>
          <w:color w:val="auto"/>
          <w:highlight w:val="none"/>
          <w:lang w:val="en-US" w:eastAsia="zh-CN"/>
        </w:rPr>
        <w:t>7</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24</w:t>
      </w:r>
      <w:r>
        <w:rPr>
          <w:rFonts w:hint="eastAsia"/>
          <w:color w:val="auto"/>
          <w:highlight w:val="none"/>
        </w:rPr>
        <w:t>日(以合同签订为准）。</w:t>
      </w:r>
    </w:p>
    <w:p w14:paraId="583F7C12">
      <w:pPr>
        <w:pStyle w:val="26"/>
        <w:numPr>
          <w:ilvl w:val="-1"/>
          <w:numId w:val="0"/>
        </w:numPr>
        <w:spacing w:beforeAutospacing="0" w:afterAutospacing="0" w:line="500" w:lineRule="exact"/>
        <w:ind w:left="0" w:leftChars="0" w:firstLine="480" w:firstLineChars="200"/>
        <w:contextualSpacing/>
        <w:jc w:val="both"/>
        <w:rPr>
          <w:rFonts w:hint="eastAsia"/>
          <w:b w:val="0"/>
          <w:bCs w:val="0"/>
          <w:color w:val="auto"/>
          <w:highlight w:val="none"/>
        </w:rPr>
      </w:pPr>
      <w:r>
        <w:rPr>
          <w:rFonts w:hint="eastAsia"/>
          <w:b w:val="0"/>
          <w:bCs w:val="0"/>
          <w:color w:val="auto"/>
          <w:highlight w:val="none"/>
          <w:lang w:val="en-US" w:eastAsia="zh-CN"/>
        </w:rPr>
        <w:t>四、</w:t>
      </w:r>
      <w:r>
        <w:rPr>
          <w:rFonts w:hint="eastAsia"/>
          <w:b w:val="0"/>
          <w:bCs w:val="0"/>
          <w:color w:val="auto"/>
          <w:highlight w:val="none"/>
        </w:rPr>
        <w:t>项目控标价：总报价</w:t>
      </w:r>
      <w:r>
        <w:rPr>
          <w:rFonts w:hint="eastAsia"/>
          <w:b w:val="0"/>
          <w:bCs w:val="0"/>
          <w:color w:val="auto"/>
          <w:highlight w:val="none"/>
          <w:lang w:val="en-US" w:eastAsia="zh-CN"/>
        </w:rPr>
        <w:t>4.7</w:t>
      </w:r>
      <w:r>
        <w:rPr>
          <w:rFonts w:hint="eastAsia"/>
          <w:b w:val="0"/>
          <w:bCs w:val="0"/>
          <w:color w:val="auto"/>
          <w:highlight w:val="none"/>
        </w:rPr>
        <w:t>万元。</w:t>
      </w:r>
    </w:p>
    <w:p w14:paraId="75453155">
      <w:pPr>
        <w:pStyle w:val="26"/>
        <w:numPr>
          <w:ilvl w:val="-1"/>
          <w:numId w:val="0"/>
        </w:numPr>
        <w:spacing w:line="500" w:lineRule="exact"/>
        <w:ind w:left="0" w:leftChars="0" w:firstLine="480" w:firstLineChars="200"/>
        <w:contextualSpacing/>
        <w:jc w:val="both"/>
        <w:rPr>
          <w:rFonts w:hint="eastAsia"/>
          <w:color w:val="auto"/>
          <w:highlight w:val="none"/>
        </w:rPr>
      </w:pPr>
      <w:r>
        <w:rPr>
          <w:rFonts w:hint="eastAsia"/>
          <w:color w:val="auto"/>
          <w:highlight w:val="none"/>
          <w:lang w:val="en-US" w:eastAsia="zh-CN"/>
        </w:rPr>
        <w:t>五、</w:t>
      </w:r>
      <w:r>
        <w:rPr>
          <w:rFonts w:hint="eastAsia"/>
          <w:color w:val="auto"/>
          <w:highlight w:val="none"/>
        </w:rPr>
        <w:t>付款方式：</w:t>
      </w:r>
      <w:r>
        <w:rPr>
          <w:rFonts w:hint="eastAsia"/>
          <w:color w:val="auto"/>
          <w:highlight w:val="none"/>
          <w:lang w:val="en-US" w:eastAsia="zh-CN"/>
        </w:rPr>
        <w:t>每季度按照实际检测项目，据实结算</w:t>
      </w:r>
      <w:r>
        <w:rPr>
          <w:rFonts w:hint="eastAsia"/>
          <w:color w:val="auto"/>
          <w:highlight w:val="none"/>
        </w:rPr>
        <w:t>(以合同签订为准）</w:t>
      </w:r>
      <w:r>
        <w:rPr>
          <w:rFonts w:hint="eastAsia"/>
          <w:color w:val="auto"/>
          <w:highlight w:val="none"/>
          <w:lang w:eastAsia="zh-CN"/>
        </w:rPr>
        <w:t>。</w:t>
      </w:r>
    </w:p>
    <w:p w14:paraId="4588E184">
      <w:pPr>
        <w:pStyle w:val="26"/>
        <w:numPr>
          <w:ilvl w:val="-1"/>
          <w:numId w:val="0"/>
        </w:numPr>
        <w:spacing w:line="500" w:lineRule="exact"/>
        <w:ind w:left="0" w:leftChars="0" w:firstLine="480" w:firstLineChars="200"/>
        <w:contextualSpacing/>
        <w:jc w:val="both"/>
        <w:rPr>
          <w:rFonts w:hint="eastAsia"/>
          <w:color w:val="auto"/>
          <w:highlight w:val="none"/>
        </w:rPr>
      </w:pPr>
      <w:r>
        <w:rPr>
          <w:rFonts w:hint="eastAsia"/>
          <w:color w:val="auto"/>
          <w:highlight w:val="none"/>
          <w:lang w:val="en-US" w:eastAsia="zh-CN"/>
        </w:rPr>
        <w:t>六、</w:t>
      </w:r>
      <w:r>
        <w:rPr>
          <w:rFonts w:hint="eastAsia"/>
          <w:color w:val="auto"/>
          <w:highlight w:val="none"/>
        </w:rPr>
        <w:t>评审办法：</w:t>
      </w:r>
      <w:bookmarkStart w:id="2" w:name="OLE_LINK3"/>
      <w:r>
        <w:rPr>
          <w:rFonts w:hint="eastAsia"/>
          <w:color w:val="auto"/>
          <w:highlight w:val="none"/>
        </w:rPr>
        <w:t>综合评分法</w:t>
      </w:r>
      <w:bookmarkEnd w:id="2"/>
      <w:r>
        <w:rPr>
          <w:color w:val="auto"/>
          <w:highlight w:val="none"/>
        </w:rPr>
        <w:t>。</w:t>
      </w:r>
    </w:p>
    <w:p w14:paraId="00A0300D">
      <w:pPr>
        <w:pStyle w:val="26"/>
        <w:numPr>
          <w:ilvl w:val="-1"/>
          <w:numId w:val="0"/>
        </w:numPr>
        <w:spacing w:line="500" w:lineRule="exact"/>
        <w:ind w:left="0" w:leftChars="0" w:firstLine="480" w:firstLineChars="200"/>
        <w:contextualSpacing/>
        <w:jc w:val="both"/>
        <w:rPr>
          <w:rFonts w:hint="eastAsia"/>
          <w:bCs/>
          <w:color w:val="auto"/>
          <w:highlight w:val="none"/>
        </w:rPr>
      </w:pPr>
      <w:r>
        <w:rPr>
          <w:rFonts w:hint="eastAsia"/>
          <w:bCs/>
          <w:color w:val="auto"/>
          <w:highlight w:val="none"/>
          <w:lang w:val="en-US" w:eastAsia="zh-CN"/>
        </w:rPr>
        <w:t>七、</w:t>
      </w:r>
      <w:r>
        <w:rPr>
          <w:rFonts w:hint="eastAsia"/>
          <w:bCs/>
          <w:color w:val="auto"/>
          <w:highlight w:val="none"/>
        </w:rPr>
        <w:t>报价文件内容（格式自拟）：</w:t>
      </w:r>
    </w:p>
    <w:p w14:paraId="4BA0DDB3">
      <w:pPr>
        <w:pStyle w:val="26"/>
        <w:numPr>
          <w:ilvl w:val="-1"/>
          <w:numId w:val="0"/>
        </w:numPr>
        <w:spacing w:line="500" w:lineRule="exact"/>
        <w:ind w:left="0" w:firstLine="480" w:firstLineChars="200"/>
        <w:contextualSpacing/>
        <w:jc w:val="both"/>
        <w:rPr>
          <w:rFonts w:hint="eastAsia"/>
          <w:bCs/>
          <w:color w:val="auto"/>
          <w:highlight w:val="none"/>
        </w:rPr>
      </w:pPr>
      <w:r>
        <w:rPr>
          <w:rFonts w:hint="eastAsia"/>
          <w:bCs/>
          <w:color w:val="auto"/>
          <w:highlight w:val="none"/>
          <w:lang w:val="en-US" w:eastAsia="zh-CN"/>
        </w:rPr>
        <w:t>1.</w:t>
      </w:r>
      <w:r>
        <w:rPr>
          <w:rFonts w:hint="eastAsia"/>
          <w:bCs/>
          <w:color w:val="auto"/>
          <w:highlight w:val="none"/>
        </w:rPr>
        <w:t>报价单</w:t>
      </w:r>
    </w:p>
    <w:p w14:paraId="269696F7">
      <w:pPr>
        <w:pStyle w:val="26"/>
        <w:spacing w:line="500" w:lineRule="exact"/>
        <w:ind w:left="0" w:firstLine="480" w:firstLineChars="200"/>
        <w:contextualSpacing/>
        <w:jc w:val="both"/>
        <w:rPr>
          <w:bCs/>
          <w:color w:val="auto"/>
          <w:highlight w:val="none"/>
        </w:rPr>
      </w:pPr>
      <w:r>
        <w:rPr>
          <w:rFonts w:hint="eastAsia"/>
          <w:bCs/>
          <w:color w:val="auto"/>
          <w:highlight w:val="none"/>
        </w:rPr>
        <w:t>须按照需求内容报价并包含一切费用；</w:t>
      </w:r>
      <w:r>
        <w:rPr>
          <w:bCs/>
          <w:color w:val="auto"/>
          <w:highlight w:val="none"/>
        </w:rPr>
        <w:t xml:space="preserve"> </w:t>
      </w:r>
    </w:p>
    <w:tbl>
      <w:tblPr>
        <w:tblStyle w:val="1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24"/>
        <w:gridCol w:w="1100"/>
        <w:gridCol w:w="3092"/>
        <w:gridCol w:w="602"/>
        <w:gridCol w:w="533"/>
        <w:gridCol w:w="1215"/>
        <w:gridCol w:w="1257"/>
      </w:tblGrid>
      <w:tr w14:paraId="736903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tcBorders>
              <w:top w:val="single" w:color="auto" w:sz="4" w:space="0"/>
            </w:tcBorders>
            <w:vAlign w:val="center"/>
          </w:tcPr>
          <w:p w14:paraId="16551CD0">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100" w:type="dxa"/>
            <w:tcBorders>
              <w:top w:val="single" w:color="auto" w:sz="4" w:space="0"/>
            </w:tcBorders>
            <w:vAlign w:val="center"/>
          </w:tcPr>
          <w:p w14:paraId="645B8968">
            <w:pPr>
              <w:widowControl/>
              <w:jc w:val="center"/>
              <w:rPr>
                <w:rFonts w:ascii="宋体" w:hAnsi="宋体" w:eastAsia="宋体" w:cs="宋体"/>
                <w:kern w:val="0"/>
                <w:sz w:val="24"/>
                <w:szCs w:val="24"/>
              </w:rPr>
            </w:pPr>
            <w:r>
              <w:rPr>
                <w:rFonts w:hint="eastAsia" w:ascii="宋体" w:hAnsi="宋体" w:eastAsia="宋体"/>
                <w:kern w:val="0"/>
                <w:sz w:val="24"/>
                <w:szCs w:val="24"/>
              </w:rPr>
              <w:t>类别（产品）</w:t>
            </w:r>
          </w:p>
        </w:tc>
        <w:tc>
          <w:tcPr>
            <w:tcW w:w="3092" w:type="dxa"/>
            <w:tcBorders>
              <w:top w:val="single" w:color="auto" w:sz="4" w:space="0"/>
            </w:tcBorders>
            <w:vAlign w:val="center"/>
          </w:tcPr>
          <w:p w14:paraId="0C718A38">
            <w:pPr>
              <w:widowControl/>
              <w:jc w:val="center"/>
              <w:rPr>
                <w:rFonts w:ascii="宋体" w:hAnsi="宋体" w:eastAsia="宋体" w:cs="宋体"/>
                <w:kern w:val="0"/>
                <w:sz w:val="24"/>
                <w:szCs w:val="24"/>
              </w:rPr>
            </w:pPr>
            <w:r>
              <w:rPr>
                <w:rFonts w:hint="eastAsia" w:ascii="宋体" w:hAnsi="宋体" w:eastAsia="宋体" w:cs="宋体"/>
                <w:kern w:val="0"/>
                <w:sz w:val="24"/>
                <w:szCs w:val="24"/>
              </w:rPr>
              <w:t>检测项目/参数</w:t>
            </w:r>
          </w:p>
        </w:tc>
        <w:tc>
          <w:tcPr>
            <w:tcW w:w="602" w:type="dxa"/>
            <w:tcBorders>
              <w:top w:val="single" w:color="auto" w:sz="4" w:space="0"/>
            </w:tcBorders>
            <w:vAlign w:val="center"/>
          </w:tcPr>
          <w:p w14:paraId="78373EDC">
            <w:pPr>
              <w:widowControl/>
              <w:jc w:val="center"/>
              <w:rPr>
                <w:rFonts w:ascii="宋体" w:hAnsi="宋体" w:eastAsia="宋体" w:cs="宋体"/>
                <w:kern w:val="0"/>
                <w:sz w:val="24"/>
                <w:szCs w:val="24"/>
              </w:rPr>
            </w:pPr>
            <w:r>
              <w:rPr>
                <w:rFonts w:hint="eastAsia" w:ascii="宋体" w:hAnsi="宋体" w:eastAsia="宋体" w:cs="宋体"/>
                <w:kern w:val="0"/>
                <w:sz w:val="24"/>
                <w:szCs w:val="24"/>
              </w:rPr>
              <w:t>单位</w:t>
            </w:r>
          </w:p>
        </w:tc>
        <w:tc>
          <w:tcPr>
            <w:tcW w:w="533" w:type="dxa"/>
            <w:tcBorders>
              <w:top w:val="single" w:color="auto" w:sz="4" w:space="0"/>
            </w:tcBorders>
            <w:vAlign w:val="center"/>
          </w:tcPr>
          <w:p w14:paraId="119EF09E">
            <w:pPr>
              <w:widowControl/>
              <w:jc w:val="center"/>
              <w:rPr>
                <w:rFonts w:ascii="宋体" w:hAnsi="宋体" w:eastAsia="宋体"/>
                <w:kern w:val="0"/>
                <w:sz w:val="24"/>
                <w:szCs w:val="24"/>
              </w:rPr>
            </w:pPr>
            <w:r>
              <w:rPr>
                <w:rFonts w:hint="eastAsia" w:ascii="宋体" w:hAnsi="宋体" w:eastAsia="宋体"/>
                <w:kern w:val="0"/>
                <w:sz w:val="24"/>
                <w:szCs w:val="24"/>
              </w:rPr>
              <w:t>数量</w:t>
            </w:r>
          </w:p>
        </w:tc>
        <w:tc>
          <w:tcPr>
            <w:tcW w:w="1215" w:type="dxa"/>
            <w:tcBorders>
              <w:top w:val="single" w:color="auto" w:sz="4" w:space="0"/>
            </w:tcBorders>
            <w:vAlign w:val="center"/>
          </w:tcPr>
          <w:p w14:paraId="02331C8C">
            <w:pPr>
              <w:widowControl/>
              <w:jc w:val="center"/>
              <w:rPr>
                <w:rFonts w:hint="eastAsia" w:ascii="宋体" w:hAnsi="宋体" w:eastAsia="宋体"/>
                <w:kern w:val="0"/>
                <w:sz w:val="24"/>
                <w:szCs w:val="24"/>
                <w:lang w:eastAsia="zh-CN"/>
              </w:rPr>
            </w:pPr>
            <w:r>
              <w:rPr>
                <w:rFonts w:hint="eastAsia" w:ascii="宋体" w:hAnsi="宋体" w:eastAsia="宋体"/>
                <w:kern w:val="0"/>
                <w:sz w:val="24"/>
                <w:szCs w:val="24"/>
                <w:lang w:eastAsia="zh-CN"/>
              </w:rPr>
              <w:t>单价（元）</w:t>
            </w:r>
          </w:p>
        </w:tc>
        <w:tc>
          <w:tcPr>
            <w:tcW w:w="1257" w:type="dxa"/>
            <w:tcBorders>
              <w:top w:val="single" w:color="auto" w:sz="4" w:space="0"/>
            </w:tcBorders>
            <w:vAlign w:val="center"/>
          </w:tcPr>
          <w:p w14:paraId="754F03BA">
            <w:pPr>
              <w:widowControl/>
              <w:jc w:val="center"/>
              <w:rPr>
                <w:rFonts w:hint="eastAsia" w:ascii="宋体" w:hAnsi="宋体" w:eastAsia="宋体"/>
                <w:kern w:val="0"/>
                <w:sz w:val="24"/>
                <w:szCs w:val="24"/>
                <w:lang w:eastAsia="zh-CN"/>
              </w:rPr>
            </w:pPr>
            <w:r>
              <w:rPr>
                <w:rFonts w:hint="eastAsia" w:ascii="宋体" w:hAnsi="宋体" w:eastAsia="宋体"/>
                <w:kern w:val="0"/>
                <w:sz w:val="24"/>
                <w:szCs w:val="24"/>
                <w:lang w:eastAsia="zh-CN"/>
              </w:rPr>
              <w:t>金额（元）</w:t>
            </w:r>
          </w:p>
        </w:tc>
      </w:tr>
      <w:tr w14:paraId="0F1C9C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restart"/>
            <w:vAlign w:val="center"/>
          </w:tcPr>
          <w:p w14:paraId="690F444B">
            <w:pPr>
              <w:jc w:val="center"/>
              <w:rPr>
                <w:rFonts w:ascii="宋体" w:hAnsi="宋体" w:eastAsia="宋体" w:cs="宋体"/>
                <w:kern w:val="0"/>
                <w:sz w:val="24"/>
                <w:szCs w:val="24"/>
              </w:rPr>
            </w:pPr>
            <w:r>
              <w:rPr>
                <w:rFonts w:ascii="宋体" w:hAnsi="宋体" w:eastAsia="宋体" w:cs="宋体"/>
                <w:kern w:val="0"/>
                <w:sz w:val="24"/>
                <w:szCs w:val="24"/>
              </w:rPr>
              <w:t>1</w:t>
            </w:r>
          </w:p>
        </w:tc>
        <w:tc>
          <w:tcPr>
            <w:tcW w:w="1100" w:type="dxa"/>
            <w:vMerge w:val="restart"/>
            <w:vAlign w:val="center"/>
          </w:tcPr>
          <w:p w14:paraId="02EBB8EA">
            <w:pPr>
              <w:widowControl/>
              <w:jc w:val="center"/>
              <w:rPr>
                <w:rFonts w:ascii="宋体" w:hAnsi="宋体" w:eastAsia="宋体" w:cs="宋体"/>
                <w:kern w:val="0"/>
                <w:sz w:val="24"/>
                <w:szCs w:val="24"/>
              </w:rPr>
            </w:pPr>
            <w:r>
              <w:rPr>
                <w:rFonts w:hint="eastAsia" w:ascii="宋体" w:hAnsi="宋体" w:eastAsia="宋体" w:cs="宋体"/>
                <w:kern w:val="0"/>
                <w:sz w:val="24"/>
                <w:szCs w:val="24"/>
              </w:rPr>
              <w:t>水泥</w:t>
            </w:r>
          </w:p>
        </w:tc>
        <w:tc>
          <w:tcPr>
            <w:tcW w:w="3092" w:type="dxa"/>
            <w:vAlign w:val="center"/>
          </w:tcPr>
          <w:p w14:paraId="17D0528B">
            <w:pPr>
              <w:widowControl/>
              <w:jc w:val="center"/>
              <w:rPr>
                <w:rFonts w:ascii="宋体" w:hAnsi="宋体" w:eastAsia="宋体" w:cs="宋体"/>
                <w:kern w:val="0"/>
                <w:sz w:val="24"/>
                <w:szCs w:val="24"/>
              </w:rPr>
            </w:pPr>
            <w:r>
              <w:rPr>
                <w:rFonts w:hint="eastAsia" w:ascii="宋体" w:hAnsi="宋体" w:eastAsia="宋体" w:cs="宋体"/>
                <w:kern w:val="0"/>
                <w:sz w:val="24"/>
                <w:szCs w:val="24"/>
              </w:rPr>
              <w:t>凝结时间</w:t>
            </w:r>
          </w:p>
        </w:tc>
        <w:tc>
          <w:tcPr>
            <w:tcW w:w="602" w:type="dxa"/>
            <w:vAlign w:val="center"/>
          </w:tcPr>
          <w:p w14:paraId="7768C785">
            <w:pPr>
              <w:widowControl/>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2FCAC62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0253CF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2A734F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55E9D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1F3CCE42">
            <w:pPr>
              <w:jc w:val="center"/>
              <w:rPr>
                <w:rFonts w:ascii="宋体" w:hAnsi="宋体" w:eastAsia="宋体" w:cs="宋体"/>
                <w:kern w:val="0"/>
                <w:sz w:val="24"/>
                <w:szCs w:val="24"/>
              </w:rPr>
            </w:pPr>
          </w:p>
        </w:tc>
        <w:tc>
          <w:tcPr>
            <w:tcW w:w="1100" w:type="dxa"/>
            <w:vMerge w:val="continue"/>
            <w:vAlign w:val="center"/>
          </w:tcPr>
          <w:p w14:paraId="070ADE90">
            <w:pPr>
              <w:jc w:val="center"/>
              <w:rPr>
                <w:rFonts w:ascii="宋体" w:hAnsi="宋体" w:eastAsia="宋体" w:cs="宋体"/>
                <w:kern w:val="0"/>
                <w:sz w:val="24"/>
                <w:szCs w:val="24"/>
              </w:rPr>
            </w:pPr>
          </w:p>
        </w:tc>
        <w:tc>
          <w:tcPr>
            <w:tcW w:w="3092" w:type="dxa"/>
            <w:vAlign w:val="center"/>
          </w:tcPr>
          <w:p w14:paraId="667E2FBE">
            <w:pPr>
              <w:widowControl/>
              <w:jc w:val="center"/>
              <w:rPr>
                <w:rFonts w:ascii="宋体" w:hAnsi="宋体" w:eastAsia="宋体" w:cs="宋体"/>
                <w:kern w:val="0"/>
                <w:sz w:val="24"/>
                <w:szCs w:val="24"/>
              </w:rPr>
            </w:pPr>
            <w:r>
              <w:rPr>
                <w:rFonts w:hint="eastAsia" w:ascii="宋体" w:hAnsi="宋体" w:eastAsia="宋体" w:cs="宋体"/>
                <w:kern w:val="0"/>
                <w:sz w:val="24"/>
                <w:szCs w:val="24"/>
              </w:rPr>
              <w:t>安定性</w:t>
            </w:r>
          </w:p>
        </w:tc>
        <w:tc>
          <w:tcPr>
            <w:tcW w:w="602" w:type="dxa"/>
            <w:vAlign w:val="center"/>
          </w:tcPr>
          <w:p w14:paraId="2AB547AE">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027A7A0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19D4E8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641E13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8701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19D1A080">
            <w:pPr>
              <w:jc w:val="center"/>
              <w:rPr>
                <w:rFonts w:ascii="宋体" w:hAnsi="宋体" w:eastAsia="宋体" w:cs="宋体"/>
                <w:kern w:val="0"/>
                <w:sz w:val="24"/>
                <w:szCs w:val="24"/>
              </w:rPr>
            </w:pPr>
          </w:p>
        </w:tc>
        <w:tc>
          <w:tcPr>
            <w:tcW w:w="1100" w:type="dxa"/>
            <w:vMerge w:val="continue"/>
            <w:vAlign w:val="center"/>
          </w:tcPr>
          <w:p w14:paraId="01C777B1">
            <w:pPr>
              <w:jc w:val="center"/>
              <w:rPr>
                <w:rFonts w:ascii="宋体" w:hAnsi="宋体" w:eastAsia="宋体" w:cs="宋体"/>
                <w:kern w:val="0"/>
                <w:sz w:val="24"/>
                <w:szCs w:val="24"/>
              </w:rPr>
            </w:pPr>
          </w:p>
        </w:tc>
        <w:tc>
          <w:tcPr>
            <w:tcW w:w="3092" w:type="dxa"/>
            <w:vAlign w:val="center"/>
          </w:tcPr>
          <w:p w14:paraId="44046371">
            <w:pPr>
              <w:widowControl/>
              <w:jc w:val="center"/>
              <w:rPr>
                <w:rFonts w:ascii="宋体" w:hAnsi="宋体" w:eastAsia="宋体" w:cs="宋体"/>
                <w:kern w:val="0"/>
                <w:sz w:val="24"/>
                <w:szCs w:val="24"/>
              </w:rPr>
            </w:pPr>
            <w:r>
              <w:rPr>
                <w:rFonts w:hint="eastAsia" w:ascii="宋体" w:hAnsi="宋体" w:eastAsia="宋体" w:cs="宋体"/>
                <w:kern w:val="0"/>
                <w:sz w:val="24"/>
                <w:szCs w:val="24"/>
              </w:rPr>
              <w:t>强度</w:t>
            </w:r>
          </w:p>
        </w:tc>
        <w:tc>
          <w:tcPr>
            <w:tcW w:w="602" w:type="dxa"/>
            <w:vAlign w:val="center"/>
          </w:tcPr>
          <w:p w14:paraId="0DFF2920">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5853156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6B00C5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5172F1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AB9A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6C84EC9A">
            <w:pPr>
              <w:widowControl/>
              <w:jc w:val="center"/>
              <w:rPr>
                <w:rFonts w:ascii="宋体" w:hAnsi="宋体" w:eastAsia="宋体" w:cs="宋体"/>
                <w:kern w:val="0"/>
                <w:sz w:val="24"/>
                <w:szCs w:val="24"/>
              </w:rPr>
            </w:pPr>
          </w:p>
        </w:tc>
        <w:tc>
          <w:tcPr>
            <w:tcW w:w="1100" w:type="dxa"/>
            <w:vMerge w:val="continue"/>
            <w:vAlign w:val="center"/>
          </w:tcPr>
          <w:p w14:paraId="713C1BA5">
            <w:pPr>
              <w:widowControl/>
              <w:jc w:val="center"/>
              <w:rPr>
                <w:rFonts w:ascii="宋体" w:hAnsi="宋体" w:eastAsia="宋体" w:cs="宋体"/>
                <w:kern w:val="0"/>
                <w:sz w:val="24"/>
                <w:szCs w:val="24"/>
              </w:rPr>
            </w:pPr>
          </w:p>
        </w:tc>
        <w:tc>
          <w:tcPr>
            <w:tcW w:w="3092" w:type="dxa"/>
            <w:vAlign w:val="center"/>
          </w:tcPr>
          <w:p w14:paraId="38290B60">
            <w:pPr>
              <w:widowControl/>
              <w:jc w:val="center"/>
              <w:rPr>
                <w:rFonts w:ascii="宋体" w:hAnsi="宋体" w:eastAsia="宋体" w:cs="宋体"/>
                <w:kern w:val="0"/>
                <w:sz w:val="24"/>
                <w:szCs w:val="24"/>
              </w:rPr>
            </w:pPr>
            <w:r>
              <w:rPr>
                <w:rFonts w:hint="eastAsia" w:ascii="宋体" w:hAnsi="宋体" w:eastAsia="宋体" w:cs="宋体"/>
                <w:kern w:val="0"/>
                <w:sz w:val="24"/>
                <w:szCs w:val="24"/>
              </w:rPr>
              <w:t>标准稠度</w:t>
            </w:r>
          </w:p>
        </w:tc>
        <w:tc>
          <w:tcPr>
            <w:tcW w:w="602" w:type="dxa"/>
            <w:vAlign w:val="center"/>
          </w:tcPr>
          <w:p w14:paraId="792F5AA1">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3204F36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399494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33A62B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DF06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77C00720">
            <w:pPr>
              <w:widowControl/>
              <w:jc w:val="center"/>
              <w:rPr>
                <w:rFonts w:ascii="宋体" w:hAnsi="宋体" w:eastAsia="宋体" w:cs="宋体"/>
                <w:kern w:val="0"/>
                <w:sz w:val="24"/>
                <w:szCs w:val="24"/>
              </w:rPr>
            </w:pPr>
          </w:p>
        </w:tc>
        <w:tc>
          <w:tcPr>
            <w:tcW w:w="1100" w:type="dxa"/>
            <w:vMerge w:val="continue"/>
            <w:vAlign w:val="center"/>
          </w:tcPr>
          <w:p w14:paraId="4F23A09D">
            <w:pPr>
              <w:widowControl/>
              <w:jc w:val="center"/>
              <w:rPr>
                <w:rFonts w:ascii="宋体" w:hAnsi="宋体" w:eastAsia="宋体" w:cs="宋体"/>
                <w:kern w:val="0"/>
                <w:sz w:val="24"/>
                <w:szCs w:val="24"/>
              </w:rPr>
            </w:pPr>
          </w:p>
        </w:tc>
        <w:tc>
          <w:tcPr>
            <w:tcW w:w="3092" w:type="dxa"/>
            <w:vAlign w:val="center"/>
          </w:tcPr>
          <w:p w14:paraId="5F5B0417">
            <w:pPr>
              <w:widowControl/>
              <w:jc w:val="center"/>
              <w:rPr>
                <w:rFonts w:ascii="宋体" w:hAnsi="宋体" w:eastAsia="宋体" w:cs="宋体"/>
                <w:kern w:val="0"/>
                <w:sz w:val="24"/>
                <w:szCs w:val="24"/>
              </w:rPr>
            </w:pPr>
            <w:r>
              <w:rPr>
                <w:rFonts w:hint="eastAsia" w:ascii="宋体" w:hAnsi="宋体" w:eastAsia="宋体" w:cs="宋体"/>
                <w:kern w:val="0"/>
                <w:sz w:val="24"/>
                <w:szCs w:val="24"/>
              </w:rPr>
              <w:t>细度</w:t>
            </w:r>
          </w:p>
        </w:tc>
        <w:tc>
          <w:tcPr>
            <w:tcW w:w="602" w:type="dxa"/>
            <w:vAlign w:val="center"/>
          </w:tcPr>
          <w:p w14:paraId="08ABF474">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1883D9D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4EACED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44FDA6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DE3A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74DDF43D">
            <w:pPr>
              <w:widowControl/>
              <w:jc w:val="center"/>
              <w:rPr>
                <w:rFonts w:ascii="宋体" w:hAnsi="宋体" w:eastAsia="宋体" w:cs="宋体"/>
                <w:kern w:val="0"/>
                <w:sz w:val="24"/>
                <w:szCs w:val="24"/>
              </w:rPr>
            </w:pPr>
          </w:p>
        </w:tc>
        <w:tc>
          <w:tcPr>
            <w:tcW w:w="1100" w:type="dxa"/>
            <w:vMerge w:val="continue"/>
            <w:vAlign w:val="center"/>
          </w:tcPr>
          <w:p w14:paraId="4E6CA205">
            <w:pPr>
              <w:widowControl/>
              <w:jc w:val="center"/>
              <w:rPr>
                <w:rFonts w:ascii="宋体" w:hAnsi="宋体" w:eastAsia="宋体" w:cs="宋体"/>
                <w:kern w:val="0"/>
                <w:sz w:val="24"/>
                <w:szCs w:val="24"/>
              </w:rPr>
            </w:pPr>
          </w:p>
        </w:tc>
        <w:tc>
          <w:tcPr>
            <w:tcW w:w="3092" w:type="dxa"/>
            <w:vAlign w:val="center"/>
          </w:tcPr>
          <w:p w14:paraId="3F8AF739">
            <w:pPr>
              <w:widowControl/>
              <w:jc w:val="center"/>
              <w:rPr>
                <w:rFonts w:ascii="宋体" w:hAnsi="宋体" w:eastAsia="宋体" w:cs="宋体"/>
                <w:kern w:val="0"/>
                <w:sz w:val="24"/>
                <w:szCs w:val="24"/>
              </w:rPr>
            </w:pPr>
            <w:r>
              <w:rPr>
                <w:rFonts w:hint="eastAsia" w:ascii="宋体" w:hAnsi="宋体" w:eastAsia="宋体" w:cs="宋体"/>
                <w:kern w:val="0"/>
                <w:sz w:val="24"/>
                <w:szCs w:val="24"/>
              </w:rPr>
              <w:t>碱含量</w:t>
            </w:r>
          </w:p>
        </w:tc>
        <w:tc>
          <w:tcPr>
            <w:tcW w:w="602" w:type="dxa"/>
            <w:vAlign w:val="center"/>
          </w:tcPr>
          <w:p w14:paraId="77D0A86D">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3A6D545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7CF37C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219E5C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A7F8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524" w:type="dxa"/>
            <w:vMerge w:val="restart"/>
            <w:vAlign w:val="center"/>
          </w:tcPr>
          <w:p w14:paraId="15AB4937">
            <w:pPr>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100" w:type="dxa"/>
            <w:vMerge w:val="restart"/>
            <w:vAlign w:val="center"/>
          </w:tcPr>
          <w:p w14:paraId="30881E8D">
            <w:pPr>
              <w:widowControl/>
              <w:jc w:val="center"/>
              <w:rPr>
                <w:rFonts w:ascii="宋体" w:hAnsi="宋体" w:eastAsia="宋体" w:cs="宋体"/>
                <w:kern w:val="0"/>
                <w:sz w:val="24"/>
                <w:szCs w:val="24"/>
              </w:rPr>
            </w:pPr>
            <w:r>
              <w:rPr>
                <w:rFonts w:hint="eastAsia" w:ascii="宋体" w:hAnsi="宋体" w:eastAsia="宋体" w:cs="宋体"/>
                <w:kern w:val="0"/>
                <w:sz w:val="24"/>
                <w:szCs w:val="24"/>
              </w:rPr>
              <w:t>混凝土</w:t>
            </w:r>
          </w:p>
        </w:tc>
        <w:tc>
          <w:tcPr>
            <w:tcW w:w="3092" w:type="dxa"/>
            <w:vAlign w:val="center"/>
          </w:tcPr>
          <w:p w14:paraId="58E6B27E">
            <w:pPr>
              <w:widowControl/>
              <w:jc w:val="center"/>
              <w:rPr>
                <w:rFonts w:ascii="宋体" w:hAnsi="宋体" w:eastAsia="宋体" w:cs="宋体"/>
                <w:kern w:val="0"/>
                <w:sz w:val="24"/>
                <w:szCs w:val="24"/>
              </w:rPr>
            </w:pPr>
            <w:r>
              <w:rPr>
                <w:rFonts w:hint="eastAsia" w:ascii="宋体" w:hAnsi="宋体" w:eastAsia="宋体" w:cs="宋体"/>
                <w:kern w:val="0"/>
                <w:sz w:val="24"/>
                <w:szCs w:val="24"/>
              </w:rPr>
              <w:t>抗压强度</w:t>
            </w:r>
          </w:p>
        </w:tc>
        <w:tc>
          <w:tcPr>
            <w:tcW w:w="602" w:type="dxa"/>
            <w:vAlign w:val="center"/>
          </w:tcPr>
          <w:p w14:paraId="30ACD680">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383082B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20</w:t>
            </w:r>
          </w:p>
        </w:tc>
        <w:tc>
          <w:tcPr>
            <w:tcW w:w="1215" w:type="dxa"/>
            <w:vAlign w:val="center"/>
          </w:tcPr>
          <w:p w14:paraId="25C79D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118C1A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BC74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7927BC13">
            <w:pPr>
              <w:jc w:val="center"/>
              <w:rPr>
                <w:rFonts w:ascii="宋体" w:hAnsi="宋体" w:eastAsia="宋体" w:cs="宋体"/>
                <w:kern w:val="0"/>
                <w:sz w:val="24"/>
                <w:szCs w:val="24"/>
              </w:rPr>
            </w:pPr>
          </w:p>
        </w:tc>
        <w:tc>
          <w:tcPr>
            <w:tcW w:w="1100" w:type="dxa"/>
            <w:vMerge w:val="continue"/>
            <w:vAlign w:val="center"/>
          </w:tcPr>
          <w:p w14:paraId="690DC602">
            <w:pPr>
              <w:widowControl/>
              <w:jc w:val="center"/>
              <w:rPr>
                <w:rFonts w:ascii="宋体" w:hAnsi="宋体" w:eastAsia="宋体" w:cs="宋体"/>
                <w:kern w:val="0"/>
                <w:sz w:val="24"/>
                <w:szCs w:val="24"/>
              </w:rPr>
            </w:pPr>
          </w:p>
        </w:tc>
        <w:tc>
          <w:tcPr>
            <w:tcW w:w="3092" w:type="dxa"/>
            <w:vAlign w:val="center"/>
          </w:tcPr>
          <w:p w14:paraId="49396BD9">
            <w:pPr>
              <w:widowControl/>
              <w:jc w:val="center"/>
              <w:rPr>
                <w:rFonts w:ascii="宋体" w:hAnsi="宋体" w:eastAsia="宋体" w:cs="宋体"/>
                <w:kern w:val="0"/>
                <w:sz w:val="24"/>
                <w:szCs w:val="24"/>
              </w:rPr>
            </w:pPr>
            <w:r>
              <w:rPr>
                <w:rFonts w:hint="eastAsia" w:ascii="宋体" w:hAnsi="宋体" w:eastAsia="宋体" w:cs="宋体"/>
                <w:kern w:val="0"/>
                <w:sz w:val="24"/>
                <w:szCs w:val="24"/>
              </w:rPr>
              <w:t>抗冻试验</w:t>
            </w:r>
          </w:p>
        </w:tc>
        <w:tc>
          <w:tcPr>
            <w:tcW w:w="602" w:type="dxa"/>
            <w:vAlign w:val="center"/>
          </w:tcPr>
          <w:p w14:paraId="6EFDB72A">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7008340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215" w:type="dxa"/>
            <w:vAlign w:val="center"/>
          </w:tcPr>
          <w:p w14:paraId="6FA52B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19888A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3C267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1E96B133">
            <w:pPr>
              <w:jc w:val="center"/>
              <w:rPr>
                <w:rFonts w:ascii="宋体" w:hAnsi="宋体" w:eastAsia="宋体" w:cs="宋体"/>
                <w:kern w:val="0"/>
                <w:sz w:val="24"/>
                <w:szCs w:val="24"/>
              </w:rPr>
            </w:pPr>
          </w:p>
        </w:tc>
        <w:tc>
          <w:tcPr>
            <w:tcW w:w="1100" w:type="dxa"/>
            <w:vMerge w:val="continue"/>
            <w:vAlign w:val="center"/>
          </w:tcPr>
          <w:p w14:paraId="08C128C3">
            <w:pPr>
              <w:widowControl/>
              <w:jc w:val="center"/>
              <w:rPr>
                <w:rFonts w:ascii="宋体" w:hAnsi="宋体" w:eastAsia="宋体" w:cs="宋体"/>
                <w:kern w:val="0"/>
                <w:sz w:val="24"/>
                <w:szCs w:val="24"/>
              </w:rPr>
            </w:pPr>
          </w:p>
        </w:tc>
        <w:tc>
          <w:tcPr>
            <w:tcW w:w="3092" w:type="dxa"/>
            <w:vAlign w:val="center"/>
          </w:tcPr>
          <w:p w14:paraId="4EF74B2A">
            <w:pPr>
              <w:widowControl/>
              <w:jc w:val="center"/>
              <w:rPr>
                <w:rFonts w:ascii="宋体" w:hAnsi="宋体" w:eastAsia="宋体" w:cs="宋体"/>
                <w:kern w:val="0"/>
                <w:sz w:val="24"/>
                <w:szCs w:val="24"/>
              </w:rPr>
            </w:pPr>
            <w:r>
              <w:rPr>
                <w:rFonts w:hint="eastAsia" w:ascii="宋体" w:hAnsi="宋体" w:eastAsia="宋体" w:cs="宋体"/>
                <w:kern w:val="0"/>
                <w:sz w:val="24"/>
                <w:szCs w:val="24"/>
              </w:rPr>
              <w:t>抗渗试验</w:t>
            </w:r>
          </w:p>
        </w:tc>
        <w:tc>
          <w:tcPr>
            <w:tcW w:w="602" w:type="dxa"/>
            <w:vAlign w:val="center"/>
          </w:tcPr>
          <w:p w14:paraId="46EF64AD">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7849DEE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734850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58F4CF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717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restart"/>
            <w:vAlign w:val="center"/>
          </w:tcPr>
          <w:p w14:paraId="55CCA990">
            <w:pPr>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00" w:type="dxa"/>
            <w:vMerge w:val="restart"/>
            <w:vAlign w:val="center"/>
          </w:tcPr>
          <w:p w14:paraId="49692939">
            <w:pPr>
              <w:widowControl/>
              <w:jc w:val="center"/>
              <w:rPr>
                <w:rFonts w:ascii="宋体" w:hAnsi="宋体" w:eastAsia="宋体" w:cs="宋体"/>
                <w:kern w:val="0"/>
                <w:sz w:val="24"/>
                <w:szCs w:val="24"/>
              </w:rPr>
            </w:pPr>
            <w:r>
              <w:rPr>
                <w:rFonts w:hint="eastAsia" w:ascii="宋体" w:hAnsi="宋体" w:eastAsia="宋体" w:cs="宋体"/>
                <w:kern w:val="0"/>
                <w:sz w:val="24"/>
                <w:szCs w:val="24"/>
              </w:rPr>
              <w:t>现场混凝土检测</w:t>
            </w:r>
          </w:p>
        </w:tc>
        <w:tc>
          <w:tcPr>
            <w:tcW w:w="3092" w:type="dxa"/>
            <w:vAlign w:val="center"/>
          </w:tcPr>
          <w:p w14:paraId="4EE5708A">
            <w:pPr>
              <w:widowControl/>
              <w:jc w:val="center"/>
              <w:rPr>
                <w:rFonts w:ascii="宋体" w:hAnsi="宋体" w:eastAsia="宋体" w:cs="宋体"/>
                <w:kern w:val="0"/>
                <w:sz w:val="24"/>
                <w:szCs w:val="24"/>
              </w:rPr>
            </w:pPr>
            <w:r>
              <w:rPr>
                <w:rFonts w:hint="eastAsia" w:ascii="宋体" w:hAnsi="宋体" w:eastAsia="宋体" w:cs="宋体"/>
                <w:kern w:val="0"/>
                <w:sz w:val="24"/>
                <w:szCs w:val="24"/>
              </w:rPr>
              <w:t>钢筋间距及保护层厚度</w:t>
            </w:r>
          </w:p>
        </w:tc>
        <w:tc>
          <w:tcPr>
            <w:tcW w:w="602" w:type="dxa"/>
            <w:vAlign w:val="center"/>
          </w:tcPr>
          <w:p w14:paraId="4CAD4F75">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0EEEF8D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4B5690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6D723C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CE3F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05B40EA6">
            <w:pPr>
              <w:jc w:val="center"/>
              <w:rPr>
                <w:rFonts w:ascii="宋体" w:hAnsi="宋体" w:eastAsia="宋体" w:cs="宋体"/>
                <w:kern w:val="0"/>
                <w:sz w:val="24"/>
                <w:szCs w:val="24"/>
              </w:rPr>
            </w:pPr>
          </w:p>
        </w:tc>
        <w:tc>
          <w:tcPr>
            <w:tcW w:w="1100" w:type="dxa"/>
            <w:vMerge w:val="continue"/>
            <w:vAlign w:val="center"/>
          </w:tcPr>
          <w:p w14:paraId="27C81BED">
            <w:pPr>
              <w:widowControl/>
              <w:jc w:val="center"/>
              <w:rPr>
                <w:rFonts w:ascii="宋体" w:hAnsi="宋体" w:eastAsia="宋体" w:cs="宋体"/>
                <w:kern w:val="0"/>
                <w:sz w:val="24"/>
                <w:szCs w:val="24"/>
              </w:rPr>
            </w:pPr>
          </w:p>
        </w:tc>
        <w:tc>
          <w:tcPr>
            <w:tcW w:w="3092" w:type="dxa"/>
            <w:vAlign w:val="center"/>
          </w:tcPr>
          <w:p w14:paraId="40CEDF95">
            <w:pPr>
              <w:widowControl/>
              <w:jc w:val="center"/>
              <w:rPr>
                <w:rFonts w:ascii="宋体" w:hAnsi="宋体" w:eastAsia="宋体" w:cs="宋体"/>
                <w:kern w:val="0"/>
                <w:sz w:val="24"/>
                <w:szCs w:val="24"/>
              </w:rPr>
            </w:pPr>
            <w:r>
              <w:rPr>
                <w:rFonts w:hint="eastAsia" w:ascii="宋体" w:hAnsi="宋体" w:eastAsia="宋体" w:cs="宋体"/>
                <w:kern w:val="0"/>
                <w:sz w:val="24"/>
                <w:szCs w:val="24"/>
              </w:rPr>
              <w:t>现场混凝土抗压强度（回弹强度、碳化深度）</w:t>
            </w:r>
          </w:p>
        </w:tc>
        <w:tc>
          <w:tcPr>
            <w:tcW w:w="602" w:type="dxa"/>
            <w:vAlign w:val="center"/>
          </w:tcPr>
          <w:p w14:paraId="18AD56A0">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00C80C5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w:t>
            </w:r>
          </w:p>
        </w:tc>
        <w:tc>
          <w:tcPr>
            <w:tcW w:w="1215" w:type="dxa"/>
            <w:vAlign w:val="center"/>
          </w:tcPr>
          <w:p w14:paraId="7C4361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49BCF5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082F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Align w:val="center"/>
          </w:tcPr>
          <w:p w14:paraId="2AA1D8F5">
            <w:pPr>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100" w:type="dxa"/>
            <w:vAlign w:val="center"/>
          </w:tcPr>
          <w:p w14:paraId="02AB5CE7">
            <w:pPr>
              <w:widowControl/>
              <w:jc w:val="center"/>
              <w:rPr>
                <w:rFonts w:ascii="宋体" w:hAnsi="宋体" w:eastAsia="宋体" w:cs="宋体"/>
                <w:kern w:val="0"/>
                <w:sz w:val="24"/>
                <w:szCs w:val="24"/>
              </w:rPr>
            </w:pPr>
            <w:r>
              <w:rPr>
                <w:rFonts w:hint="eastAsia" w:ascii="宋体" w:hAnsi="宋体" w:eastAsia="宋体" w:cs="宋体"/>
                <w:kern w:val="0"/>
                <w:sz w:val="24"/>
                <w:szCs w:val="24"/>
              </w:rPr>
              <w:t>砂浆</w:t>
            </w:r>
          </w:p>
        </w:tc>
        <w:tc>
          <w:tcPr>
            <w:tcW w:w="3092" w:type="dxa"/>
            <w:vAlign w:val="center"/>
          </w:tcPr>
          <w:p w14:paraId="23A4BB90">
            <w:pPr>
              <w:widowControl/>
              <w:jc w:val="center"/>
              <w:rPr>
                <w:rFonts w:ascii="宋体" w:hAnsi="宋体" w:eastAsia="宋体" w:cs="宋体"/>
                <w:kern w:val="0"/>
                <w:sz w:val="24"/>
                <w:szCs w:val="24"/>
              </w:rPr>
            </w:pPr>
            <w:r>
              <w:rPr>
                <w:rFonts w:hint="eastAsia" w:ascii="宋体" w:hAnsi="宋体" w:eastAsia="宋体" w:cs="宋体"/>
                <w:kern w:val="0"/>
                <w:sz w:val="24"/>
                <w:szCs w:val="24"/>
              </w:rPr>
              <w:t>立方体抗压强度</w:t>
            </w:r>
          </w:p>
        </w:tc>
        <w:tc>
          <w:tcPr>
            <w:tcW w:w="602" w:type="dxa"/>
            <w:vAlign w:val="center"/>
          </w:tcPr>
          <w:p w14:paraId="5CA01303">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13810E2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13E501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7466DE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800C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Align w:val="center"/>
          </w:tcPr>
          <w:p w14:paraId="404D7F32">
            <w:pPr>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100" w:type="dxa"/>
            <w:vAlign w:val="center"/>
          </w:tcPr>
          <w:p w14:paraId="5AE0C135">
            <w:pPr>
              <w:widowControl/>
              <w:jc w:val="center"/>
              <w:rPr>
                <w:rFonts w:ascii="宋体" w:hAnsi="宋体" w:eastAsia="宋体" w:cs="宋体"/>
                <w:kern w:val="0"/>
                <w:sz w:val="24"/>
                <w:szCs w:val="24"/>
              </w:rPr>
            </w:pPr>
            <w:r>
              <w:rPr>
                <w:rFonts w:hint="eastAsia" w:ascii="宋体" w:hAnsi="宋体" w:eastAsia="宋体" w:cs="宋体"/>
                <w:kern w:val="0"/>
                <w:sz w:val="24"/>
                <w:szCs w:val="24"/>
              </w:rPr>
              <w:t>砌块</w:t>
            </w:r>
          </w:p>
        </w:tc>
        <w:tc>
          <w:tcPr>
            <w:tcW w:w="3092" w:type="dxa"/>
            <w:vAlign w:val="center"/>
          </w:tcPr>
          <w:p w14:paraId="5862B88E">
            <w:pPr>
              <w:widowControl/>
              <w:jc w:val="center"/>
              <w:rPr>
                <w:rFonts w:ascii="宋体" w:hAnsi="宋体" w:eastAsia="宋体" w:cs="宋体"/>
                <w:kern w:val="0"/>
                <w:sz w:val="24"/>
                <w:szCs w:val="24"/>
                <w:highlight w:val="yellow"/>
              </w:rPr>
            </w:pPr>
            <w:r>
              <w:rPr>
                <w:rFonts w:hint="eastAsia" w:ascii="宋体" w:hAnsi="宋体" w:eastAsia="宋体" w:cs="宋体"/>
                <w:kern w:val="0"/>
                <w:sz w:val="24"/>
                <w:szCs w:val="24"/>
              </w:rPr>
              <w:t>抗压强度</w:t>
            </w:r>
          </w:p>
        </w:tc>
        <w:tc>
          <w:tcPr>
            <w:tcW w:w="602" w:type="dxa"/>
            <w:vAlign w:val="center"/>
          </w:tcPr>
          <w:p w14:paraId="0059FB12">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7D5FE4D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5BC4F2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3B0845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3019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Align w:val="center"/>
          </w:tcPr>
          <w:p w14:paraId="6AA5B98C">
            <w:pPr>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1100" w:type="dxa"/>
            <w:vAlign w:val="center"/>
          </w:tcPr>
          <w:p w14:paraId="54618BF5">
            <w:pPr>
              <w:widowControl/>
              <w:jc w:val="center"/>
              <w:rPr>
                <w:rFonts w:ascii="宋体" w:hAnsi="宋体" w:eastAsia="宋体" w:cs="宋体"/>
                <w:kern w:val="0"/>
                <w:sz w:val="24"/>
                <w:szCs w:val="24"/>
              </w:rPr>
            </w:pPr>
            <w:r>
              <w:rPr>
                <w:rFonts w:hint="eastAsia" w:ascii="宋体" w:hAnsi="宋体" w:eastAsia="宋体" w:cs="宋体"/>
                <w:kern w:val="0"/>
                <w:sz w:val="24"/>
                <w:szCs w:val="24"/>
              </w:rPr>
              <w:t>砖</w:t>
            </w:r>
          </w:p>
        </w:tc>
        <w:tc>
          <w:tcPr>
            <w:tcW w:w="3092" w:type="dxa"/>
            <w:vAlign w:val="center"/>
          </w:tcPr>
          <w:p w14:paraId="70677B58">
            <w:pPr>
              <w:widowControl/>
              <w:jc w:val="center"/>
              <w:rPr>
                <w:rFonts w:ascii="宋体" w:hAnsi="宋体" w:eastAsia="宋体" w:cs="宋体"/>
                <w:kern w:val="0"/>
                <w:sz w:val="24"/>
                <w:szCs w:val="24"/>
              </w:rPr>
            </w:pPr>
            <w:r>
              <w:rPr>
                <w:rFonts w:hint="eastAsia" w:ascii="宋体" w:hAnsi="宋体" w:eastAsia="宋体" w:cs="宋体"/>
                <w:kern w:val="0"/>
                <w:sz w:val="24"/>
                <w:szCs w:val="24"/>
              </w:rPr>
              <w:t>抗压强度</w:t>
            </w:r>
          </w:p>
        </w:tc>
        <w:tc>
          <w:tcPr>
            <w:tcW w:w="602" w:type="dxa"/>
            <w:vAlign w:val="center"/>
          </w:tcPr>
          <w:p w14:paraId="5D7AC5A5">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4664800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69167C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7C5913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5C48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restart"/>
            <w:vAlign w:val="center"/>
          </w:tcPr>
          <w:p w14:paraId="14DE0E04">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1100" w:type="dxa"/>
            <w:vMerge w:val="restart"/>
            <w:vAlign w:val="center"/>
          </w:tcPr>
          <w:p w14:paraId="32267E58">
            <w:pPr>
              <w:widowControl/>
              <w:jc w:val="center"/>
              <w:rPr>
                <w:rFonts w:ascii="宋体" w:hAnsi="宋体" w:eastAsia="宋体" w:cs="宋体"/>
                <w:kern w:val="0"/>
                <w:sz w:val="24"/>
                <w:szCs w:val="24"/>
              </w:rPr>
            </w:pPr>
            <w:r>
              <w:rPr>
                <w:rFonts w:hint="eastAsia" w:ascii="宋体" w:hAnsi="宋体" w:eastAsia="宋体" w:cs="宋体"/>
                <w:kern w:val="0"/>
                <w:sz w:val="24"/>
                <w:szCs w:val="24"/>
              </w:rPr>
              <w:t>钢材</w:t>
            </w:r>
          </w:p>
          <w:p w14:paraId="1C7454B8">
            <w:pPr>
              <w:widowControl/>
              <w:jc w:val="center"/>
              <w:rPr>
                <w:rFonts w:ascii="宋体" w:hAnsi="宋体" w:eastAsia="宋体" w:cs="宋体"/>
                <w:kern w:val="0"/>
                <w:sz w:val="24"/>
                <w:szCs w:val="24"/>
              </w:rPr>
            </w:pPr>
            <w:r>
              <w:rPr>
                <w:rFonts w:hint="eastAsia" w:ascii="宋体" w:hAnsi="宋体" w:eastAsia="宋体" w:cs="宋体"/>
                <w:kern w:val="0"/>
                <w:sz w:val="24"/>
                <w:szCs w:val="24"/>
              </w:rPr>
              <w:t>（钢筋、型材）</w:t>
            </w:r>
          </w:p>
        </w:tc>
        <w:tc>
          <w:tcPr>
            <w:tcW w:w="3092" w:type="dxa"/>
            <w:vAlign w:val="center"/>
          </w:tcPr>
          <w:p w14:paraId="41AECA6B">
            <w:pPr>
              <w:widowControl/>
              <w:jc w:val="center"/>
              <w:rPr>
                <w:rFonts w:ascii="宋体" w:hAnsi="宋体" w:eastAsia="宋体" w:cs="宋体"/>
                <w:kern w:val="0"/>
                <w:sz w:val="24"/>
                <w:szCs w:val="24"/>
              </w:rPr>
            </w:pPr>
            <w:r>
              <w:rPr>
                <w:rFonts w:hint="eastAsia" w:ascii="宋体" w:hAnsi="宋体" w:eastAsia="宋体" w:cs="宋体"/>
                <w:kern w:val="0"/>
                <w:sz w:val="24"/>
                <w:szCs w:val="24"/>
              </w:rPr>
              <w:t>拉伸</w:t>
            </w:r>
          </w:p>
        </w:tc>
        <w:tc>
          <w:tcPr>
            <w:tcW w:w="602" w:type="dxa"/>
            <w:vAlign w:val="center"/>
          </w:tcPr>
          <w:p w14:paraId="75FD342E">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39E7DB1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68C866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00B1BD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D0FC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23354AF9">
            <w:pPr>
              <w:widowControl/>
              <w:jc w:val="center"/>
              <w:rPr>
                <w:rFonts w:ascii="宋体" w:hAnsi="宋体" w:eastAsia="宋体" w:cs="宋体"/>
                <w:kern w:val="0"/>
                <w:sz w:val="24"/>
                <w:szCs w:val="24"/>
              </w:rPr>
            </w:pPr>
          </w:p>
        </w:tc>
        <w:tc>
          <w:tcPr>
            <w:tcW w:w="1100" w:type="dxa"/>
            <w:vMerge w:val="continue"/>
            <w:vAlign w:val="center"/>
          </w:tcPr>
          <w:p w14:paraId="678BB3C9">
            <w:pPr>
              <w:widowControl/>
              <w:jc w:val="center"/>
              <w:rPr>
                <w:rFonts w:ascii="宋体" w:hAnsi="宋体" w:eastAsia="宋体" w:cs="宋体"/>
                <w:kern w:val="0"/>
                <w:sz w:val="24"/>
                <w:szCs w:val="24"/>
              </w:rPr>
            </w:pPr>
          </w:p>
        </w:tc>
        <w:tc>
          <w:tcPr>
            <w:tcW w:w="3092" w:type="dxa"/>
            <w:vAlign w:val="center"/>
          </w:tcPr>
          <w:p w14:paraId="1D931FAD">
            <w:pPr>
              <w:widowControl/>
              <w:jc w:val="center"/>
              <w:rPr>
                <w:rFonts w:ascii="宋体" w:hAnsi="宋体" w:eastAsia="宋体" w:cs="宋体"/>
                <w:kern w:val="0"/>
                <w:sz w:val="24"/>
                <w:szCs w:val="24"/>
              </w:rPr>
            </w:pPr>
            <w:r>
              <w:rPr>
                <w:rFonts w:hint="eastAsia" w:ascii="宋体" w:hAnsi="宋体" w:eastAsia="宋体" w:cs="宋体"/>
                <w:kern w:val="0"/>
                <w:sz w:val="24"/>
                <w:szCs w:val="24"/>
              </w:rPr>
              <w:t>弯曲</w:t>
            </w:r>
          </w:p>
        </w:tc>
        <w:tc>
          <w:tcPr>
            <w:tcW w:w="602" w:type="dxa"/>
            <w:vAlign w:val="center"/>
          </w:tcPr>
          <w:p w14:paraId="30EDA9D6">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537BE85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071269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51F8AE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BBA6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5A3AA0FD">
            <w:pPr>
              <w:widowControl/>
              <w:jc w:val="center"/>
              <w:rPr>
                <w:rFonts w:ascii="宋体" w:hAnsi="宋体" w:eastAsia="宋体" w:cs="宋体"/>
                <w:kern w:val="0"/>
                <w:sz w:val="24"/>
                <w:szCs w:val="24"/>
              </w:rPr>
            </w:pPr>
          </w:p>
        </w:tc>
        <w:tc>
          <w:tcPr>
            <w:tcW w:w="1100" w:type="dxa"/>
            <w:vMerge w:val="continue"/>
            <w:vAlign w:val="center"/>
          </w:tcPr>
          <w:p w14:paraId="2BF523D6">
            <w:pPr>
              <w:widowControl/>
              <w:jc w:val="center"/>
              <w:rPr>
                <w:rFonts w:ascii="宋体" w:hAnsi="宋体" w:eastAsia="宋体" w:cs="宋体"/>
                <w:kern w:val="0"/>
                <w:sz w:val="24"/>
                <w:szCs w:val="24"/>
              </w:rPr>
            </w:pPr>
          </w:p>
        </w:tc>
        <w:tc>
          <w:tcPr>
            <w:tcW w:w="3092" w:type="dxa"/>
            <w:vAlign w:val="center"/>
          </w:tcPr>
          <w:p w14:paraId="40D4FD25">
            <w:pPr>
              <w:widowControl/>
              <w:jc w:val="center"/>
              <w:rPr>
                <w:rFonts w:ascii="宋体" w:hAnsi="宋体" w:eastAsia="宋体" w:cs="宋体"/>
                <w:kern w:val="0"/>
                <w:sz w:val="24"/>
                <w:szCs w:val="24"/>
              </w:rPr>
            </w:pPr>
            <w:r>
              <w:rPr>
                <w:rFonts w:hint="eastAsia" w:ascii="宋体" w:hAnsi="宋体" w:eastAsia="宋体" w:cs="宋体"/>
                <w:kern w:val="0"/>
                <w:sz w:val="24"/>
                <w:szCs w:val="24"/>
              </w:rPr>
              <w:t>尺寸、重量偏差</w:t>
            </w:r>
          </w:p>
        </w:tc>
        <w:tc>
          <w:tcPr>
            <w:tcW w:w="602" w:type="dxa"/>
            <w:vAlign w:val="center"/>
          </w:tcPr>
          <w:p w14:paraId="5BC0A95B">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6E3F6E3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2B965A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160A5A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C573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103F2D4D">
            <w:pPr>
              <w:widowControl/>
              <w:jc w:val="center"/>
              <w:rPr>
                <w:rFonts w:ascii="宋体" w:hAnsi="宋体" w:eastAsia="宋体" w:cs="宋体"/>
                <w:kern w:val="0"/>
                <w:sz w:val="24"/>
                <w:szCs w:val="24"/>
              </w:rPr>
            </w:pPr>
          </w:p>
        </w:tc>
        <w:tc>
          <w:tcPr>
            <w:tcW w:w="1100" w:type="dxa"/>
            <w:vMerge w:val="continue"/>
            <w:vAlign w:val="center"/>
          </w:tcPr>
          <w:p w14:paraId="5D776ABD">
            <w:pPr>
              <w:widowControl/>
              <w:jc w:val="center"/>
              <w:rPr>
                <w:rFonts w:ascii="宋体" w:hAnsi="宋体" w:eastAsia="宋体" w:cs="宋体"/>
                <w:kern w:val="0"/>
                <w:sz w:val="24"/>
                <w:szCs w:val="24"/>
              </w:rPr>
            </w:pPr>
          </w:p>
        </w:tc>
        <w:tc>
          <w:tcPr>
            <w:tcW w:w="3092" w:type="dxa"/>
            <w:vAlign w:val="center"/>
          </w:tcPr>
          <w:p w14:paraId="6457E32D">
            <w:pPr>
              <w:widowControl/>
              <w:jc w:val="center"/>
              <w:rPr>
                <w:rFonts w:ascii="宋体" w:hAnsi="宋体" w:eastAsia="宋体" w:cs="宋体"/>
                <w:kern w:val="0"/>
                <w:sz w:val="24"/>
                <w:szCs w:val="24"/>
              </w:rPr>
            </w:pPr>
            <w:r>
              <w:rPr>
                <w:rFonts w:hint="eastAsia" w:ascii="宋体" w:hAnsi="宋体" w:eastAsia="宋体" w:cs="宋体"/>
                <w:kern w:val="0"/>
                <w:sz w:val="24"/>
                <w:szCs w:val="24"/>
              </w:rPr>
              <w:t>反向弯曲</w:t>
            </w:r>
          </w:p>
        </w:tc>
        <w:tc>
          <w:tcPr>
            <w:tcW w:w="602" w:type="dxa"/>
            <w:vAlign w:val="center"/>
          </w:tcPr>
          <w:p w14:paraId="3FCC1FDB">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56D91E2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0BF268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67633C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10165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restart"/>
            <w:vAlign w:val="center"/>
          </w:tcPr>
          <w:p w14:paraId="45D6C446">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100" w:type="dxa"/>
            <w:vMerge w:val="restart"/>
            <w:vAlign w:val="center"/>
          </w:tcPr>
          <w:p w14:paraId="148CBAF1">
            <w:pPr>
              <w:widowControl/>
              <w:jc w:val="center"/>
              <w:rPr>
                <w:rFonts w:ascii="宋体" w:hAnsi="宋体" w:eastAsia="宋体" w:cs="宋体"/>
                <w:kern w:val="0"/>
                <w:sz w:val="24"/>
                <w:szCs w:val="24"/>
              </w:rPr>
            </w:pPr>
            <w:r>
              <w:rPr>
                <w:rFonts w:hint="eastAsia" w:ascii="宋体" w:hAnsi="宋体" w:eastAsia="宋体" w:cs="宋体"/>
                <w:kern w:val="0"/>
                <w:sz w:val="24"/>
                <w:szCs w:val="24"/>
              </w:rPr>
              <w:t>钢筋焊接接头</w:t>
            </w:r>
          </w:p>
        </w:tc>
        <w:tc>
          <w:tcPr>
            <w:tcW w:w="3092" w:type="dxa"/>
            <w:vAlign w:val="center"/>
          </w:tcPr>
          <w:p w14:paraId="1A54139A">
            <w:pPr>
              <w:widowControl/>
              <w:jc w:val="center"/>
              <w:rPr>
                <w:rFonts w:ascii="宋体" w:hAnsi="宋体" w:eastAsia="宋体" w:cs="宋体"/>
                <w:kern w:val="0"/>
                <w:sz w:val="24"/>
                <w:szCs w:val="24"/>
              </w:rPr>
            </w:pPr>
            <w:r>
              <w:rPr>
                <w:rFonts w:hint="eastAsia" w:ascii="宋体" w:hAnsi="宋体" w:eastAsia="宋体" w:cs="宋体"/>
                <w:kern w:val="0"/>
                <w:sz w:val="24"/>
                <w:szCs w:val="24"/>
              </w:rPr>
              <w:t>拉伸</w:t>
            </w:r>
          </w:p>
        </w:tc>
        <w:tc>
          <w:tcPr>
            <w:tcW w:w="602" w:type="dxa"/>
            <w:vAlign w:val="center"/>
          </w:tcPr>
          <w:p w14:paraId="34EF9783">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2B5FDD03">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4593F3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650FCD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5E98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52D2BED0">
            <w:pPr>
              <w:widowControl/>
              <w:jc w:val="center"/>
              <w:rPr>
                <w:rFonts w:ascii="宋体" w:hAnsi="宋体" w:eastAsia="宋体" w:cs="宋体"/>
                <w:kern w:val="0"/>
                <w:sz w:val="24"/>
                <w:szCs w:val="24"/>
              </w:rPr>
            </w:pPr>
          </w:p>
        </w:tc>
        <w:tc>
          <w:tcPr>
            <w:tcW w:w="1100" w:type="dxa"/>
            <w:vMerge w:val="continue"/>
            <w:vAlign w:val="center"/>
          </w:tcPr>
          <w:p w14:paraId="6B57CC6F">
            <w:pPr>
              <w:widowControl/>
              <w:jc w:val="center"/>
              <w:rPr>
                <w:rFonts w:ascii="宋体" w:hAnsi="宋体" w:eastAsia="宋体" w:cs="宋体"/>
                <w:kern w:val="0"/>
                <w:sz w:val="24"/>
                <w:szCs w:val="24"/>
              </w:rPr>
            </w:pPr>
          </w:p>
        </w:tc>
        <w:tc>
          <w:tcPr>
            <w:tcW w:w="3092" w:type="dxa"/>
            <w:vAlign w:val="center"/>
          </w:tcPr>
          <w:p w14:paraId="24186688">
            <w:pPr>
              <w:widowControl/>
              <w:jc w:val="center"/>
              <w:rPr>
                <w:rFonts w:ascii="宋体" w:hAnsi="宋体" w:eastAsia="宋体" w:cs="宋体"/>
                <w:kern w:val="0"/>
                <w:sz w:val="24"/>
                <w:szCs w:val="24"/>
              </w:rPr>
            </w:pPr>
            <w:r>
              <w:rPr>
                <w:rFonts w:hint="eastAsia" w:ascii="宋体" w:hAnsi="宋体" w:eastAsia="宋体" w:cs="宋体"/>
                <w:kern w:val="0"/>
                <w:sz w:val="24"/>
                <w:szCs w:val="24"/>
              </w:rPr>
              <w:t>弯曲</w:t>
            </w:r>
          </w:p>
        </w:tc>
        <w:tc>
          <w:tcPr>
            <w:tcW w:w="602" w:type="dxa"/>
            <w:vAlign w:val="center"/>
          </w:tcPr>
          <w:p w14:paraId="1100E70D">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6905A04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30B2FD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4470A0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7A61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Align w:val="center"/>
          </w:tcPr>
          <w:p w14:paraId="43022913">
            <w:pPr>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1100" w:type="dxa"/>
            <w:vAlign w:val="center"/>
          </w:tcPr>
          <w:p w14:paraId="505CAB71">
            <w:pPr>
              <w:widowControl/>
              <w:jc w:val="center"/>
              <w:rPr>
                <w:rFonts w:ascii="宋体" w:hAnsi="宋体" w:eastAsia="宋体" w:cs="宋体"/>
                <w:kern w:val="0"/>
                <w:sz w:val="24"/>
                <w:szCs w:val="24"/>
              </w:rPr>
            </w:pPr>
            <w:r>
              <w:rPr>
                <w:rFonts w:hint="eastAsia" w:ascii="宋体" w:hAnsi="宋体" w:eastAsia="宋体" w:cs="宋体"/>
                <w:kern w:val="0"/>
                <w:sz w:val="24"/>
                <w:szCs w:val="24"/>
              </w:rPr>
              <w:t>钢筋机械连接</w:t>
            </w:r>
          </w:p>
        </w:tc>
        <w:tc>
          <w:tcPr>
            <w:tcW w:w="3092" w:type="dxa"/>
            <w:vAlign w:val="center"/>
          </w:tcPr>
          <w:p w14:paraId="5E352173">
            <w:pPr>
              <w:widowControl/>
              <w:jc w:val="center"/>
              <w:rPr>
                <w:rFonts w:ascii="宋体" w:hAnsi="宋体" w:eastAsia="宋体" w:cs="宋体"/>
                <w:kern w:val="0"/>
                <w:sz w:val="24"/>
                <w:szCs w:val="24"/>
              </w:rPr>
            </w:pPr>
            <w:r>
              <w:rPr>
                <w:rFonts w:hint="eastAsia" w:ascii="宋体" w:hAnsi="宋体" w:eastAsia="宋体" w:cs="宋体"/>
                <w:kern w:val="0"/>
                <w:sz w:val="24"/>
                <w:szCs w:val="24"/>
              </w:rPr>
              <w:t>拉伸</w:t>
            </w:r>
          </w:p>
        </w:tc>
        <w:tc>
          <w:tcPr>
            <w:tcW w:w="602" w:type="dxa"/>
            <w:vAlign w:val="center"/>
          </w:tcPr>
          <w:p w14:paraId="4FFF4D24">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5555885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29C20B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3E7592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91F5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restart"/>
            <w:vAlign w:val="center"/>
          </w:tcPr>
          <w:p w14:paraId="78B7B4D3">
            <w:pPr>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1100" w:type="dxa"/>
            <w:vMerge w:val="restart"/>
            <w:vAlign w:val="center"/>
          </w:tcPr>
          <w:p w14:paraId="79B8093B">
            <w:pPr>
              <w:widowControl/>
              <w:jc w:val="center"/>
              <w:rPr>
                <w:rFonts w:ascii="宋体" w:hAnsi="宋体" w:eastAsia="宋体" w:cs="宋体"/>
                <w:kern w:val="0"/>
                <w:sz w:val="24"/>
                <w:szCs w:val="24"/>
              </w:rPr>
            </w:pPr>
            <w:r>
              <w:rPr>
                <w:rFonts w:hint="eastAsia" w:ascii="宋体" w:hAnsi="宋体" w:eastAsia="宋体" w:cs="宋体"/>
                <w:kern w:val="0"/>
                <w:sz w:val="24"/>
                <w:szCs w:val="24"/>
              </w:rPr>
              <w:t>土工合成材料</w:t>
            </w:r>
          </w:p>
        </w:tc>
        <w:tc>
          <w:tcPr>
            <w:tcW w:w="3092" w:type="dxa"/>
            <w:vAlign w:val="center"/>
          </w:tcPr>
          <w:p w14:paraId="4E4D2B4E">
            <w:pPr>
              <w:widowControl/>
              <w:jc w:val="center"/>
              <w:rPr>
                <w:rFonts w:ascii="宋体" w:hAnsi="宋体" w:eastAsia="宋体" w:cs="宋体"/>
                <w:kern w:val="0"/>
                <w:sz w:val="24"/>
                <w:szCs w:val="24"/>
              </w:rPr>
            </w:pPr>
            <w:r>
              <w:rPr>
                <w:rFonts w:hint="eastAsia" w:ascii="宋体" w:hAnsi="宋体" w:eastAsia="宋体" w:cs="宋体"/>
                <w:kern w:val="0"/>
                <w:sz w:val="24"/>
                <w:szCs w:val="24"/>
              </w:rPr>
              <w:t>单位面积质量</w:t>
            </w:r>
          </w:p>
        </w:tc>
        <w:tc>
          <w:tcPr>
            <w:tcW w:w="602" w:type="dxa"/>
            <w:vAlign w:val="center"/>
          </w:tcPr>
          <w:p w14:paraId="015134FA">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0BABA90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57CDA6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5F18E6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908A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2256F24D">
            <w:pPr>
              <w:jc w:val="center"/>
              <w:rPr>
                <w:rFonts w:ascii="宋体" w:hAnsi="宋体" w:eastAsia="宋体" w:cs="宋体"/>
                <w:kern w:val="0"/>
                <w:sz w:val="24"/>
                <w:szCs w:val="24"/>
              </w:rPr>
            </w:pPr>
          </w:p>
        </w:tc>
        <w:tc>
          <w:tcPr>
            <w:tcW w:w="1100" w:type="dxa"/>
            <w:vMerge w:val="continue"/>
            <w:vAlign w:val="center"/>
          </w:tcPr>
          <w:p w14:paraId="473C7682">
            <w:pPr>
              <w:jc w:val="center"/>
              <w:rPr>
                <w:rFonts w:ascii="宋体" w:hAnsi="宋体" w:eastAsia="宋体" w:cs="宋体"/>
                <w:kern w:val="0"/>
                <w:sz w:val="24"/>
                <w:szCs w:val="24"/>
              </w:rPr>
            </w:pPr>
          </w:p>
        </w:tc>
        <w:tc>
          <w:tcPr>
            <w:tcW w:w="3092" w:type="dxa"/>
            <w:vAlign w:val="center"/>
          </w:tcPr>
          <w:p w14:paraId="698C6EA4">
            <w:pPr>
              <w:widowControl/>
              <w:jc w:val="center"/>
              <w:rPr>
                <w:rFonts w:ascii="宋体" w:hAnsi="宋体" w:eastAsia="宋体" w:cs="宋体"/>
                <w:kern w:val="0"/>
                <w:sz w:val="24"/>
                <w:szCs w:val="24"/>
              </w:rPr>
            </w:pPr>
            <w:r>
              <w:rPr>
                <w:rFonts w:hint="eastAsia" w:ascii="宋体" w:hAnsi="宋体" w:eastAsia="宋体" w:cs="宋体"/>
                <w:kern w:val="0"/>
                <w:sz w:val="24"/>
                <w:szCs w:val="24"/>
              </w:rPr>
              <w:t>厚度</w:t>
            </w:r>
          </w:p>
        </w:tc>
        <w:tc>
          <w:tcPr>
            <w:tcW w:w="602" w:type="dxa"/>
            <w:vAlign w:val="center"/>
          </w:tcPr>
          <w:p w14:paraId="091FAB48">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6782621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4EF539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78A66A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BE05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43797E95">
            <w:pPr>
              <w:jc w:val="center"/>
              <w:rPr>
                <w:rFonts w:ascii="宋体" w:hAnsi="宋体" w:eastAsia="宋体" w:cs="宋体"/>
                <w:kern w:val="0"/>
                <w:sz w:val="24"/>
                <w:szCs w:val="24"/>
              </w:rPr>
            </w:pPr>
          </w:p>
        </w:tc>
        <w:tc>
          <w:tcPr>
            <w:tcW w:w="1100" w:type="dxa"/>
            <w:vMerge w:val="continue"/>
            <w:vAlign w:val="center"/>
          </w:tcPr>
          <w:p w14:paraId="0ACA4E03">
            <w:pPr>
              <w:jc w:val="center"/>
              <w:rPr>
                <w:rFonts w:ascii="宋体" w:hAnsi="宋体" w:eastAsia="宋体" w:cs="宋体"/>
                <w:kern w:val="0"/>
                <w:sz w:val="24"/>
                <w:szCs w:val="24"/>
              </w:rPr>
            </w:pPr>
          </w:p>
        </w:tc>
        <w:tc>
          <w:tcPr>
            <w:tcW w:w="3092" w:type="dxa"/>
            <w:vAlign w:val="center"/>
          </w:tcPr>
          <w:p w14:paraId="55FDE7BD">
            <w:pPr>
              <w:widowControl/>
              <w:jc w:val="center"/>
              <w:rPr>
                <w:rFonts w:ascii="宋体" w:hAnsi="宋体" w:eastAsia="宋体" w:cs="宋体"/>
                <w:kern w:val="0"/>
                <w:sz w:val="24"/>
                <w:szCs w:val="24"/>
              </w:rPr>
            </w:pPr>
            <w:r>
              <w:rPr>
                <w:rFonts w:hint="eastAsia" w:ascii="宋体" w:hAnsi="宋体" w:eastAsia="宋体" w:cs="宋体"/>
                <w:kern w:val="0"/>
                <w:sz w:val="24"/>
                <w:szCs w:val="24"/>
              </w:rPr>
              <w:t>拉伸强度</w:t>
            </w:r>
          </w:p>
        </w:tc>
        <w:tc>
          <w:tcPr>
            <w:tcW w:w="602" w:type="dxa"/>
            <w:vAlign w:val="center"/>
          </w:tcPr>
          <w:p w14:paraId="6B03205A">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61FE5CE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24BD82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7A9D4F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36F9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412A0FD2">
            <w:pPr>
              <w:jc w:val="center"/>
              <w:rPr>
                <w:rFonts w:ascii="宋体" w:hAnsi="宋体" w:eastAsia="宋体" w:cs="宋体"/>
                <w:kern w:val="0"/>
                <w:sz w:val="24"/>
                <w:szCs w:val="24"/>
              </w:rPr>
            </w:pPr>
          </w:p>
        </w:tc>
        <w:tc>
          <w:tcPr>
            <w:tcW w:w="1100" w:type="dxa"/>
            <w:vMerge w:val="continue"/>
            <w:vAlign w:val="center"/>
          </w:tcPr>
          <w:p w14:paraId="3662FF85">
            <w:pPr>
              <w:jc w:val="center"/>
              <w:rPr>
                <w:rFonts w:ascii="宋体" w:hAnsi="宋体" w:eastAsia="宋体" w:cs="宋体"/>
                <w:kern w:val="0"/>
                <w:sz w:val="24"/>
                <w:szCs w:val="24"/>
              </w:rPr>
            </w:pPr>
          </w:p>
        </w:tc>
        <w:tc>
          <w:tcPr>
            <w:tcW w:w="3092" w:type="dxa"/>
            <w:vAlign w:val="center"/>
          </w:tcPr>
          <w:p w14:paraId="138D7CFD">
            <w:pPr>
              <w:widowControl/>
              <w:jc w:val="center"/>
              <w:rPr>
                <w:rFonts w:ascii="宋体" w:hAnsi="宋体" w:eastAsia="宋体" w:cs="宋体"/>
                <w:kern w:val="0"/>
                <w:sz w:val="24"/>
                <w:szCs w:val="24"/>
              </w:rPr>
            </w:pPr>
            <w:r>
              <w:rPr>
                <w:rFonts w:hint="eastAsia" w:ascii="宋体" w:hAnsi="宋体" w:eastAsia="宋体" w:cs="宋体"/>
                <w:kern w:val="0"/>
                <w:sz w:val="24"/>
                <w:szCs w:val="24"/>
              </w:rPr>
              <w:t>撕裂强度</w:t>
            </w:r>
          </w:p>
        </w:tc>
        <w:tc>
          <w:tcPr>
            <w:tcW w:w="602" w:type="dxa"/>
            <w:vAlign w:val="center"/>
          </w:tcPr>
          <w:p w14:paraId="2A968D3A">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5858D76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5A8032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3CEBF9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EC90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273E9E92">
            <w:pPr>
              <w:jc w:val="center"/>
              <w:rPr>
                <w:rFonts w:ascii="宋体" w:hAnsi="宋体" w:eastAsia="宋体" w:cs="宋体"/>
                <w:kern w:val="0"/>
                <w:sz w:val="24"/>
                <w:szCs w:val="24"/>
              </w:rPr>
            </w:pPr>
          </w:p>
        </w:tc>
        <w:tc>
          <w:tcPr>
            <w:tcW w:w="1100" w:type="dxa"/>
            <w:vMerge w:val="continue"/>
            <w:vAlign w:val="center"/>
          </w:tcPr>
          <w:p w14:paraId="54113EF7">
            <w:pPr>
              <w:jc w:val="center"/>
              <w:rPr>
                <w:rFonts w:ascii="宋体" w:hAnsi="宋体" w:eastAsia="宋体" w:cs="宋体"/>
                <w:kern w:val="0"/>
                <w:sz w:val="24"/>
                <w:szCs w:val="24"/>
              </w:rPr>
            </w:pPr>
          </w:p>
        </w:tc>
        <w:tc>
          <w:tcPr>
            <w:tcW w:w="3092" w:type="dxa"/>
            <w:vAlign w:val="center"/>
          </w:tcPr>
          <w:p w14:paraId="704FF0DD">
            <w:pPr>
              <w:widowControl/>
              <w:jc w:val="center"/>
              <w:rPr>
                <w:rFonts w:ascii="宋体" w:hAnsi="宋体" w:eastAsia="宋体" w:cs="宋体"/>
                <w:kern w:val="0"/>
                <w:sz w:val="24"/>
                <w:szCs w:val="24"/>
              </w:rPr>
            </w:pPr>
            <w:r>
              <w:rPr>
                <w:rFonts w:hint="eastAsia" w:ascii="宋体" w:hAnsi="宋体" w:eastAsia="宋体" w:cs="宋体"/>
                <w:kern w:val="0"/>
                <w:sz w:val="24"/>
                <w:szCs w:val="24"/>
              </w:rPr>
              <w:t>顶破强度</w:t>
            </w:r>
          </w:p>
        </w:tc>
        <w:tc>
          <w:tcPr>
            <w:tcW w:w="602" w:type="dxa"/>
            <w:vAlign w:val="center"/>
          </w:tcPr>
          <w:p w14:paraId="7E2EF8B5">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3C5B5D6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659782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61D4A7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1C78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443753C2">
            <w:pPr>
              <w:widowControl/>
              <w:jc w:val="center"/>
              <w:rPr>
                <w:rFonts w:ascii="宋体" w:hAnsi="宋体" w:eastAsia="宋体" w:cs="宋体"/>
                <w:kern w:val="0"/>
                <w:sz w:val="24"/>
                <w:szCs w:val="24"/>
              </w:rPr>
            </w:pPr>
          </w:p>
        </w:tc>
        <w:tc>
          <w:tcPr>
            <w:tcW w:w="1100" w:type="dxa"/>
            <w:vMerge w:val="continue"/>
            <w:vAlign w:val="center"/>
          </w:tcPr>
          <w:p w14:paraId="1D08B125">
            <w:pPr>
              <w:widowControl/>
              <w:jc w:val="center"/>
              <w:rPr>
                <w:rFonts w:ascii="宋体" w:hAnsi="宋体" w:eastAsia="宋体" w:cs="宋体"/>
                <w:kern w:val="0"/>
                <w:sz w:val="24"/>
                <w:szCs w:val="24"/>
              </w:rPr>
            </w:pPr>
          </w:p>
        </w:tc>
        <w:tc>
          <w:tcPr>
            <w:tcW w:w="3092" w:type="dxa"/>
            <w:vAlign w:val="center"/>
          </w:tcPr>
          <w:p w14:paraId="5E182722">
            <w:pPr>
              <w:widowControl/>
              <w:jc w:val="center"/>
              <w:rPr>
                <w:rFonts w:ascii="宋体" w:hAnsi="宋体" w:eastAsia="宋体" w:cs="宋体"/>
                <w:kern w:val="0"/>
                <w:sz w:val="24"/>
                <w:szCs w:val="24"/>
              </w:rPr>
            </w:pPr>
            <w:r>
              <w:rPr>
                <w:rFonts w:hint="eastAsia" w:ascii="宋体" w:hAnsi="宋体" w:eastAsia="宋体" w:cs="宋体"/>
                <w:kern w:val="0"/>
                <w:sz w:val="24"/>
                <w:szCs w:val="24"/>
              </w:rPr>
              <w:t>渗透系数</w:t>
            </w:r>
          </w:p>
        </w:tc>
        <w:tc>
          <w:tcPr>
            <w:tcW w:w="602" w:type="dxa"/>
            <w:vAlign w:val="center"/>
          </w:tcPr>
          <w:p w14:paraId="4721A82A">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0FC7775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1F5EE8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1C6388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2D36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2476A13B">
            <w:pPr>
              <w:widowControl/>
              <w:jc w:val="center"/>
              <w:rPr>
                <w:rFonts w:ascii="宋体" w:hAnsi="宋体" w:eastAsia="宋体" w:cs="宋体"/>
                <w:kern w:val="0"/>
                <w:sz w:val="24"/>
                <w:szCs w:val="24"/>
              </w:rPr>
            </w:pPr>
          </w:p>
        </w:tc>
        <w:tc>
          <w:tcPr>
            <w:tcW w:w="1100" w:type="dxa"/>
            <w:vMerge w:val="continue"/>
            <w:vAlign w:val="center"/>
          </w:tcPr>
          <w:p w14:paraId="082CAF42">
            <w:pPr>
              <w:widowControl/>
              <w:jc w:val="center"/>
              <w:rPr>
                <w:rFonts w:ascii="宋体" w:hAnsi="宋体" w:eastAsia="宋体" w:cs="宋体"/>
                <w:kern w:val="0"/>
                <w:sz w:val="24"/>
                <w:szCs w:val="24"/>
              </w:rPr>
            </w:pPr>
          </w:p>
        </w:tc>
        <w:tc>
          <w:tcPr>
            <w:tcW w:w="3092" w:type="dxa"/>
            <w:vAlign w:val="center"/>
          </w:tcPr>
          <w:p w14:paraId="06031678">
            <w:pPr>
              <w:widowControl/>
              <w:jc w:val="center"/>
              <w:rPr>
                <w:rFonts w:ascii="宋体" w:hAnsi="宋体" w:eastAsia="宋体" w:cs="宋体"/>
                <w:kern w:val="0"/>
                <w:sz w:val="24"/>
                <w:szCs w:val="24"/>
              </w:rPr>
            </w:pPr>
            <w:r>
              <w:rPr>
                <w:rFonts w:hint="eastAsia" w:ascii="宋体" w:hAnsi="宋体" w:eastAsia="宋体" w:cs="宋体"/>
                <w:kern w:val="0"/>
                <w:sz w:val="24"/>
                <w:szCs w:val="24"/>
              </w:rPr>
              <w:t>等效孔径</w:t>
            </w:r>
          </w:p>
        </w:tc>
        <w:tc>
          <w:tcPr>
            <w:tcW w:w="602" w:type="dxa"/>
            <w:vAlign w:val="center"/>
          </w:tcPr>
          <w:p w14:paraId="62C87D68">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059C1C6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500A30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3C939C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5ED8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restart"/>
            <w:vAlign w:val="center"/>
          </w:tcPr>
          <w:p w14:paraId="77893806">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1100" w:type="dxa"/>
            <w:vMerge w:val="restart"/>
            <w:vAlign w:val="center"/>
          </w:tcPr>
          <w:p w14:paraId="599E9B35">
            <w:pPr>
              <w:widowControl/>
              <w:jc w:val="center"/>
              <w:rPr>
                <w:rFonts w:ascii="宋体" w:hAnsi="宋体" w:eastAsia="宋体" w:cs="宋体"/>
                <w:kern w:val="0"/>
                <w:sz w:val="24"/>
                <w:szCs w:val="24"/>
              </w:rPr>
            </w:pPr>
            <w:r>
              <w:rPr>
                <w:rFonts w:hint="eastAsia" w:ascii="宋体" w:hAnsi="宋体" w:eastAsia="宋体" w:cs="宋体"/>
                <w:kern w:val="0"/>
                <w:sz w:val="24"/>
                <w:szCs w:val="24"/>
              </w:rPr>
              <w:t>橡胶止水带</w:t>
            </w:r>
          </w:p>
        </w:tc>
        <w:tc>
          <w:tcPr>
            <w:tcW w:w="3092" w:type="dxa"/>
            <w:vAlign w:val="center"/>
          </w:tcPr>
          <w:p w14:paraId="03F985D8">
            <w:pPr>
              <w:widowControl/>
              <w:jc w:val="center"/>
              <w:rPr>
                <w:rFonts w:ascii="宋体" w:hAnsi="宋体" w:eastAsia="宋体" w:cs="宋体"/>
                <w:kern w:val="0"/>
                <w:sz w:val="24"/>
                <w:szCs w:val="24"/>
              </w:rPr>
            </w:pPr>
            <w:r>
              <w:rPr>
                <w:rFonts w:hint="eastAsia" w:ascii="宋体" w:hAnsi="宋体" w:eastAsia="宋体" w:cs="宋体"/>
                <w:kern w:val="0"/>
                <w:sz w:val="24"/>
                <w:szCs w:val="24"/>
              </w:rPr>
              <w:t>硬度</w:t>
            </w:r>
          </w:p>
        </w:tc>
        <w:tc>
          <w:tcPr>
            <w:tcW w:w="602" w:type="dxa"/>
            <w:vAlign w:val="center"/>
          </w:tcPr>
          <w:p w14:paraId="012703A5">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526F79A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06F2B5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3516DB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F78B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41C20F6C">
            <w:pPr>
              <w:widowControl/>
              <w:jc w:val="center"/>
              <w:rPr>
                <w:rFonts w:ascii="宋体" w:hAnsi="宋体" w:eastAsia="宋体" w:cs="宋体"/>
                <w:kern w:val="0"/>
                <w:sz w:val="24"/>
                <w:szCs w:val="24"/>
              </w:rPr>
            </w:pPr>
          </w:p>
        </w:tc>
        <w:tc>
          <w:tcPr>
            <w:tcW w:w="1100" w:type="dxa"/>
            <w:vMerge w:val="continue"/>
            <w:vAlign w:val="center"/>
          </w:tcPr>
          <w:p w14:paraId="6149F21D">
            <w:pPr>
              <w:widowControl/>
              <w:jc w:val="center"/>
              <w:rPr>
                <w:rFonts w:ascii="宋体" w:hAnsi="宋体" w:eastAsia="宋体" w:cs="宋体"/>
                <w:kern w:val="0"/>
                <w:sz w:val="24"/>
                <w:szCs w:val="24"/>
              </w:rPr>
            </w:pPr>
          </w:p>
        </w:tc>
        <w:tc>
          <w:tcPr>
            <w:tcW w:w="3092" w:type="dxa"/>
            <w:vAlign w:val="center"/>
          </w:tcPr>
          <w:p w14:paraId="01A5442E">
            <w:pPr>
              <w:widowControl/>
              <w:jc w:val="center"/>
              <w:rPr>
                <w:rFonts w:ascii="宋体" w:hAnsi="宋体" w:eastAsia="宋体" w:cs="宋体"/>
                <w:kern w:val="0"/>
                <w:sz w:val="24"/>
                <w:szCs w:val="24"/>
              </w:rPr>
            </w:pPr>
            <w:r>
              <w:rPr>
                <w:rFonts w:hint="eastAsia" w:ascii="宋体" w:hAnsi="宋体" w:eastAsia="宋体" w:cs="宋体"/>
                <w:kern w:val="0"/>
                <w:sz w:val="24"/>
                <w:szCs w:val="24"/>
              </w:rPr>
              <w:t>拉伸强度</w:t>
            </w:r>
          </w:p>
        </w:tc>
        <w:tc>
          <w:tcPr>
            <w:tcW w:w="602" w:type="dxa"/>
            <w:vAlign w:val="center"/>
          </w:tcPr>
          <w:p w14:paraId="0B10E93A">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7884D0D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025BD3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4B27C9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A753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5950EC53">
            <w:pPr>
              <w:widowControl/>
              <w:jc w:val="center"/>
              <w:rPr>
                <w:rFonts w:ascii="宋体" w:hAnsi="宋体" w:eastAsia="宋体" w:cs="宋体"/>
                <w:kern w:val="0"/>
                <w:sz w:val="24"/>
                <w:szCs w:val="24"/>
              </w:rPr>
            </w:pPr>
          </w:p>
        </w:tc>
        <w:tc>
          <w:tcPr>
            <w:tcW w:w="1100" w:type="dxa"/>
            <w:vMerge w:val="continue"/>
            <w:vAlign w:val="center"/>
          </w:tcPr>
          <w:p w14:paraId="5DF9284D">
            <w:pPr>
              <w:widowControl/>
              <w:jc w:val="center"/>
              <w:rPr>
                <w:rFonts w:ascii="宋体" w:hAnsi="宋体" w:eastAsia="宋体" w:cs="宋体"/>
                <w:kern w:val="0"/>
                <w:sz w:val="24"/>
                <w:szCs w:val="24"/>
              </w:rPr>
            </w:pPr>
          </w:p>
        </w:tc>
        <w:tc>
          <w:tcPr>
            <w:tcW w:w="3092" w:type="dxa"/>
            <w:vAlign w:val="center"/>
          </w:tcPr>
          <w:p w14:paraId="740475A2">
            <w:pPr>
              <w:widowControl/>
              <w:jc w:val="center"/>
              <w:rPr>
                <w:rFonts w:ascii="宋体" w:hAnsi="宋体" w:eastAsia="宋体" w:cs="宋体"/>
                <w:kern w:val="0"/>
                <w:sz w:val="24"/>
                <w:szCs w:val="24"/>
              </w:rPr>
            </w:pPr>
            <w:r>
              <w:rPr>
                <w:rFonts w:hint="eastAsia" w:ascii="宋体" w:hAnsi="宋体" w:eastAsia="宋体" w:cs="宋体"/>
                <w:kern w:val="0"/>
                <w:sz w:val="24"/>
                <w:szCs w:val="24"/>
              </w:rPr>
              <w:t>扯断伸长率</w:t>
            </w:r>
          </w:p>
        </w:tc>
        <w:tc>
          <w:tcPr>
            <w:tcW w:w="602" w:type="dxa"/>
            <w:vAlign w:val="center"/>
          </w:tcPr>
          <w:p w14:paraId="3ACF7508">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5BDBF79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398566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0FF63A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B06E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3636BF7F">
            <w:pPr>
              <w:widowControl/>
              <w:jc w:val="center"/>
              <w:rPr>
                <w:rFonts w:ascii="宋体" w:hAnsi="宋体" w:eastAsia="宋体" w:cs="宋体"/>
                <w:kern w:val="0"/>
                <w:sz w:val="24"/>
                <w:szCs w:val="24"/>
              </w:rPr>
            </w:pPr>
          </w:p>
        </w:tc>
        <w:tc>
          <w:tcPr>
            <w:tcW w:w="1100" w:type="dxa"/>
            <w:vMerge w:val="continue"/>
            <w:vAlign w:val="center"/>
          </w:tcPr>
          <w:p w14:paraId="6614D44E">
            <w:pPr>
              <w:widowControl/>
              <w:jc w:val="center"/>
              <w:rPr>
                <w:rFonts w:ascii="宋体" w:hAnsi="宋体" w:eastAsia="宋体" w:cs="宋体"/>
                <w:kern w:val="0"/>
                <w:sz w:val="24"/>
                <w:szCs w:val="24"/>
              </w:rPr>
            </w:pPr>
          </w:p>
        </w:tc>
        <w:tc>
          <w:tcPr>
            <w:tcW w:w="3092" w:type="dxa"/>
            <w:vAlign w:val="center"/>
          </w:tcPr>
          <w:p w14:paraId="1403E3D3">
            <w:pPr>
              <w:widowControl/>
              <w:jc w:val="center"/>
              <w:rPr>
                <w:rFonts w:ascii="宋体" w:hAnsi="宋体" w:eastAsia="宋体" w:cs="宋体"/>
                <w:kern w:val="0"/>
                <w:sz w:val="24"/>
                <w:szCs w:val="24"/>
              </w:rPr>
            </w:pPr>
            <w:r>
              <w:rPr>
                <w:rFonts w:hint="eastAsia" w:ascii="宋体" w:hAnsi="宋体" w:eastAsia="宋体" w:cs="宋体"/>
                <w:kern w:val="0"/>
                <w:sz w:val="24"/>
                <w:szCs w:val="24"/>
              </w:rPr>
              <w:t>撕裂强度</w:t>
            </w:r>
          </w:p>
        </w:tc>
        <w:tc>
          <w:tcPr>
            <w:tcW w:w="602" w:type="dxa"/>
            <w:vAlign w:val="center"/>
          </w:tcPr>
          <w:p w14:paraId="669B2BEC">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191AA9D3">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44F7DD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723C5C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16A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restart"/>
            <w:vAlign w:val="center"/>
          </w:tcPr>
          <w:p w14:paraId="4EBB1CA1">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1100" w:type="dxa"/>
            <w:vMerge w:val="restart"/>
            <w:vAlign w:val="center"/>
          </w:tcPr>
          <w:p w14:paraId="6B433789">
            <w:pPr>
              <w:widowControl/>
              <w:jc w:val="center"/>
              <w:rPr>
                <w:rFonts w:ascii="宋体" w:hAnsi="宋体" w:eastAsia="宋体" w:cs="宋体"/>
                <w:kern w:val="0"/>
                <w:sz w:val="24"/>
                <w:szCs w:val="24"/>
              </w:rPr>
            </w:pPr>
            <w:r>
              <w:rPr>
                <w:rFonts w:hint="eastAsia" w:ascii="宋体" w:hAnsi="宋体" w:eastAsia="宋体" w:cs="宋体"/>
                <w:kern w:val="0"/>
                <w:sz w:val="24"/>
                <w:szCs w:val="24"/>
              </w:rPr>
              <w:t>沥青及沥青混合料</w:t>
            </w:r>
          </w:p>
        </w:tc>
        <w:tc>
          <w:tcPr>
            <w:tcW w:w="3092" w:type="dxa"/>
            <w:vAlign w:val="center"/>
          </w:tcPr>
          <w:p w14:paraId="299FC61E">
            <w:pPr>
              <w:widowControl/>
              <w:jc w:val="center"/>
              <w:rPr>
                <w:rFonts w:ascii="宋体" w:hAnsi="宋体" w:eastAsia="宋体" w:cs="宋体"/>
                <w:kern w:val="0"/>
                <w:sz w:val="24"/>
                <w:szCs w:val="24"/>
              </w:rPr>
            </w:pPr>
            <w:r>
              <w:rPr>
                <w:rFonts w:hint="eastAsia" w:ascii="宋体" w:hAnsi="宋体" w:eastAsia="宋体" w:cs="宋体"/>
                <w:kern w:val="0"/>
                <w:sz w:val="24"/>
                <w:szCs w:val="24"/>
              </w:rPr>
              <w:t>针入度</w:t>
            </w:r>
          </w:p>
        </w:tc>
        <w:tc>
          <w:tcPr>
            <w:tcW w:w="602" w:type="dxa"/>
            <w:vAlign w:val="center"/>
          </w:tcPr>
          <w:p w14:paraId="736FB80C">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63E0931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40E831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7917C8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CDAE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59E7C68F">
            <w:pPr>
              <w:widowControl/>
              <w:jc w:val="center"/>
              <w:rPr>
                <w:rFonts w:ascii="宋体" w:hAnsi="宋体" w:eastAsia="宋体" w:cs="宋体"/>
                <w:kern w:val="0"/>
                <w:sz w:val="24"/>
                <w:szCs w:val="24"/>
              </w:rPr>
            </w:pPr>
          </w:p>
        </w:tc>
        <w:tc>
          <w:tcPr>
            <w:tcW w:w="1100" w:type="dxa"/>
            <w:vMerge w:val="continue"/>
            <w:vAlign w:val="center"/>
          </w:tcPr>
          <w:p w14:paraId="31BC332F">
            <w:pPr>
              <w:widowControl/>
              <w:jc w:val="center"/>
              <w:rPr>
                <w:rFonts w:ascii="宋体" w:hAnsi="宋体" w:eastAsia="宋体" w:cs="宋体"/>
                <w:kern w:val="0"/>
                <w:sz w:val="24"/>
                <w:szCs w:val="24"/>
              </w:rPr>
            </w:pPr>
          </w:p>
        </w:tc>
        <w:tc>
          <w:tcPr>
            <w:tcW w:w="3092" w:type="dxa"/>
            <w:vAlign w:val="center"/>
          </w:tcPr>
          <w:p w14:paraId="5BA40BBF">
            <w:pPr>
              <w:widowControl/>
              <w:jc w:val="center"/>
              <w:rPr>
                <w:rFonts w:ascii="宋体" w:hAnsi="宋体" w:eastAsia="宋体" w:cs="宋体"/>
                <w:kern w:val="0"/>
                <w:sz w:val="24"/>
                <w:szCs w:val="24"/>
              </w:rPr>
            </w:pPr>
            <w:r>
              <w:rPr>
                <w:rFonts w:hint="eastAsia" w:ascii="宋体" w:hAnsi="宋体" w:eastAsia="宋体" w:cs="宋体"/>
                <w:kern w:val="0"/>
                <w:sz w:val="24"/>
                <w:szCs w:val="24"/>
              </w:rPr>
              <w:t>软化点</w:t>
            </w:r>
          </w:p>
        </w:tc>
        <w:tc>
          <w:tcPr>
            <w:tcW w:w="602" w:type="dxa"/>
            <w:vAlign w:val="center"/>
          </w:tcPr>
          <w:p w14:paraId="79427B88">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44AC83D3">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190BBB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678A6B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766C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158102FB">
            <w:pPr>
              <w:widowControl/>
              <w:jc w:val="center"/>
              <w:rPr>
                <w:rFonts w:ascii="宋体" w:hAnsi="宋体" w:eastAsia="宋体" w:cs="宋体"/>
                <w:kern w:val="0"/>
                <w:sz w:val="24"/>
                <w:szCs w:val="24"/>
              </w:rPr>
            </w:pPr>
          </w:p>
        </w:tc>
        <w:tc>
          <w:tcPr>
            <w:tcW w:w="1100" w:type="dxa"/>
            <w:vMerge w:val="continue"/>
            <w:vAlign w:val="center"/>
          </w:tcPr>
          <w:p w14:paraId="55C898D8">
            <w:pPr>
              <w:widowControl/>
              <w:jc w:val="center"/>
              <w:rPr>
                <w:rFonts w:ascii="宋体" w:hAnsi="宋体" w:eastAsia="宋体" w:cs="宋体"/>
                <w:kern w:val="0"/>
                <w:sz w:val="24"/>
                <w:szCs w:val="24"/>
              </w:rPr>
            </w:pPr>
          </w:p>
        </w:tc>
        <w:tc>
          <w:tcPr>
            <w:tcW w:w="3092" w:type="dxa"/>
            <w:vAlign w:val="center"/>
          </w:tcPr>
          <w:p w14:paraId="0DE93CB9">
            <w:pPr>
              <w:widowControl/>
              <w:jc w:val="center"/>
              <w:rPr>
                <w:rFonts w:ascii="宋体" w:hAnsi="宋体" w:eastAsia="宋体" w:cs="宋体"/>
                <w:kern w:val="0"/>
                <w:sz w:val="24"/>
                <w:szCs w:val="24"/>
              </w:rPr>
            </w:pPr>
            <w:r>
              <w:rPr>
                <w:rFonts w:hint="eastAsia" w:ascii="宋体" w:hAnsi="宋体" w:eastAsia="宋体" w:cs="宋体"/>
                <w:kern w:val="0"/>
                <w:sz w:val="24"/>
                <w:szCs w:val="24"/>
              </w:rPr>
              <w:t>延度</w:t>
            </w:r>
          </w:p>
        </w:tc>
        <w:tc>
          <w:tcPr>
            <w:tcW w:w="602" w:type="dxa"/>
            <w:vAlign w:val="center"/>
          </w:tcPr>
          <w:p w14:paraId="5DC402F4">
            <w:pPr>
              <w:jc w:val="center"/>
              <w:rPr>
                <w:rFonts w:ascii="宋体" w:hAnsi="宋体" w:eastAsia="宋体"/>
                <w:sz w:val="24"/>
                <w:szCs w:val="24"/>
              </w:rPr>
            </w:pPr>
            <w:r>
              <w:rPr>
                <w:rFonts w:hint="eastAsia" w:ascii="宋体" w:hAnsi="宋体" w:eastAsia="宋体" w:cs="宋体"/>
                <w:kern w:val="0"/>
                <w:sz w:val="24"/>
                <w:szCs w:val="24"/>
              </w:rPr>
              <w:t>组</w:t>
            </w:r>
          </w:p>
        </w:tc>
        <w:tc>
          <w:tcPr>
            <w:tcW w:w="533" w:type="dxa"/>
            <w:vAlign w:val="center"/>
          </w:tcPr>
          <w:p w14:paraId="6F68A75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538F16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7F63F2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60DBA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restart"/>
            <w:vAlign w:val="center"/>
          </w:tcPr>
          <w:p w14:paraId="7C10BCDA">
            <w:pPr>
              <w:widowControl/>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1100" w:type="dxa"/>
            <w:vMerge w:val="restart"/>
            <w:vAlign w:val="center"/>
          </w:tcPr>
          <w:p w14:paraId="183D39FE">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管材、管件</w:t>
            </w:r>
          </w:p>
        </w:tc>
        <w:tc>
          <w:tcPr>
            <w:tcW w:w="3092" w:type="dxa"/>
            <w:vAlign w:val="center"/>
          </w:tcPr>
          <w:p w14:paraId="74297007">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内径</w:t>
            </w:r>
          </w:p>
        </w:tc>
        <w:tc>
          <w:tcPr>
            <w:tcW w:w="602" w:type="dxa"/>
            <w:vAlign w:val="center"/>
          </w:tcPr>
          <w:p w14:paraId="19E6EBF1">
            <w:pPr>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组</w:t>
            </w:r>
          </w:p>
        </w:tc>
        <w:tc>
          <w:tcPr>
            <w:tcW w:w="533" w:type="dxa"/>
            <w:vMerge w:val="restart"/>
            <w:vAlign w:val="center"/>
          </w:tcPr>
          <w:p w14:paraId="4D0FF734">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4F44B9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4D106D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986E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0A5988C1">
            <w:pPr>
              <w:widowControl/>
              <w:jc w:val="center"/>
              <w:rPr>
                <w:rFonts w:ascii="宋体" w:hAnsi="宋体" w:eastAsia="宋体" w:cs="宋体"/>
                <w:kern w:val="0"/>
                <w:sz w:val="24"/>
                <w:szCs w:val="24"/>
              </w:rPr>
            </w:pPr>
          </w:p>
        </w:tc>
        <w:tc>
          <w:tcPr>
            <w:tcW w:w="1100" w:type="dxa"/>
            <w:vMerge w:val="continue"/>
            <w:vAlign w:val="center"/>
          </w:tcPr>
          <w:p w14:paraId="5700A734">
            <w:pPr>
              <w:widowControl/>
              <w:jc w:val="center"/>
              <w:rPr>
                <w:rFonts w:ascii="宋体" w:hAnsi="宋体" w:eastAsia="宋体" w:cs="宋体"/>
                <w:kern w:val="0"/>
                <w:sz w:val="24"/>
                <w:szCs w:val="24"/>
                <w:highlight w:val="none"/>
              </w:rPr>
            </w:pPr>
          </w:p>
        </w:tc>
        <w:tc>
          <w:tcPr>
            <w:tcW w:w="3092" w:type="dxa"/>
            <w:vAlign w:val="center"/>
          </w:tcPr>
          <w:p w14:paraId="6164C441">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平均外径</w:t>
            </w:r>
          </w:p>
        </w:tc>
        <w:tc>
          <w:tcPr>
            <w:tcW w:w="602" w:type="dxa"/>
            <w:vAlign w:val="center"/>
          </w:tcPr>
          <w:p w14:paraId="57CA7C48">
            <w:pPr>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组</w:t>
            </w:r>
          </w:p>
        </w:tc>
        <w:tc>
          <w:tcPr>
            <w:tcW w:w="533" w:type="dxa"/>
            <w:vMerge w:val="continue"/>
            <w:vAlign w:val="center"/>
          </w:tcPr>
          <w:p w14:paraId="44CF24BF">
            <w:pPr>
              <w:widowControl/>
              <w:jc w:val="center"/>
              <w:rPr>
                <w:rFonts w:ascii="宋体" w:hAnsi="宋体" w:eastAsia="宋体" w:cs="宋体"/>
                <w:kern w:val="0"/>
                <w:sz w:val="24"/>
                <w:szCs w:val="24"/>
                <w:highlight w:val="none"/>
              </w:rPr>
            </w:pPr>
          </w:p>
        </w:tc>
        <w:tc>
          <w:tcPr>
            <w:tcW w:w="1215" w:type="dxa"/>
            <w:vAlign w:val="center"/>
          </w:tcPr>
          <w:p w14:paraId="58EAC06C">
            <w:pPr>
              <w:widowControl/>
              <w:jc w:val="center"/>
              <w:rPr>
                <w:rFonts w:ascii="宋体" w:hAnsi="宋体" w:eastAsia="宋体" w:cs="宋体"/>
                <w:kern w:val="0"/>
                <w:sz w:val="24"/>
                <w:szCs w:val="24"/>
                <w:highlight w:val="none"/>
              </w:rPr>
            </w:pPr>
          </w:p>
        </w:tc>
        <w:tc>
          <w:tcPr>
            <w:tcW w:w="1257" w:type="dxa"/>
            <w:vAlign w:val="center"/>
          </w:tcPr>
          <w:p w14:paraId="48610E31">
            <w:pPr>
              <w:widowControl/>
              <w:jc w:val="center"/>
              <w:rPr>
                <w:rFonts w:ascii="宋体" w:hAnsi="宋体" w:eastAsia="宋体" w:cs="宋体"/>
                <w:kern w:val="0"/>
                <w:sz w:val="24"/>
                <w:szCs w:val="24"/>
                <w:highlight w:val="none"/>
              </w:rPr>
            </w:pPr>
          </w:p>
        </w:tc>
      </w:tr>
      <w:tr w14:paraId="18445A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288A80C3">
            <w:pPr>
              <w:widowControl/>
              <w:jc w:val="center"/>
              <w:rPr>
                <w:rFonts w:ascii="宋体" w:hAnsi="宋体" w:eastAsia="宋体" w:cs="宋体"/>
                <w:kern w:val="0"/>
                <w:sz w:val="24"/>
                <w:szCs w:val="24"/>
              </w:rPr>
            </w:pPr>
          </w:p>
        </w:tc>
        <w:tc>
          <w:tcPr>
            <w:tcW w:w="1100" w:type="dxa"/>
            <w:vMerge w:val="continue"/>
            <w:vAlign w:val="center"/>
          </w:tcPr>
          <w:p w14:paraId="72C0C011">
            <w:pPr>
              <w:widowControl/>
              <w:jc w:val="center"/>
              <w:rPr>
                <w:rFonts w:ascii="宋体" w:hAnsi="宋体" w:eastAsia="宋体" w:cs="宋体"/>
                <w:kern w:val="0"/>
                <w:sz w:val="24"/>
                <w:szCs w:val="24"/>
                <w:highlight w:val="none"/>
              </w:rPr>
            </w:pPr>
          </w:p>
        </w:tc>
        <w:tc>
          <w:tcPr>
            <w:tcW w:w="3092" w:type="dxa"/>
            <w:vAlign w:val="center"/>
          </w:tcPr>
          <w:p w14:paraId="4F36E9B3">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壁厚</w:t>
            </w:r>
          </w:p>
        </w:tc>
        <w:tc>
          <w:tcPr>
            <w:tcW w:w="602" w:type="dxa"/>
            <w:vAlign w:val="center"/>
          </w:tcPr>
          <w:p w14:paraId="23378DDB">
            <w:pPr>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组</w:t>
            </w:r>
          </w:p>
        </w:tc>
        <w:tc>
          <w:tcPr>
            <w:tcW w:w="533" w:type="dxa"/>
            <w:vMerge w:val="continue"/>
            <w:vAlign w:val="center"/>
          </w:tcPr>
          <w:p w14:paraId="727CE546">
            <w:pPr>
              <w:widowControl/>
              <w:jc w:val="center"/>
              <w:rPr>
                <w:rFonts w:ascii="宋体" w:hAnsi="宋体" w:eastAsia="宋体" w:cs="宋体"/>
                <w:kern w:val="0"/>
                <w:sz w:val="24"/>
                <w:szCs w:val="24"/>
                <w:highlight w:val="none"/>
              </w:rPr>
            </w:pPr>
          </w:p>
        </w:tc>
        <w:tc>
          <w:tcPr>
            <w:tcW w:w="1215" w:type="dxa"/>
            <w:vAlign w:val="center"/>
          </w:tcPr>
          <w:p w14:paraId="2649A768">
            <w:pPr>
              <w:widowControl/>
              <w:jc w:val="center"/>
              <w:rPr>
                <w:rFonts w:ascii="宋体" w:hAnsi="宋体" w:eastAsia="宋体" w:cs="宋体"/>
                <w:kern w:val="0"/>
                <w:sz w:val="24"/>
                <w:szCs w:val="24"/>
                <w:highlight w:val="none"/>
              </w:rPr>
            </w:pPr>
          </w:p>
        </w:tc>
        <w:tc>
          <w:tcPr>
            <w:tcW w:w="1257" w:type="dxa"/>
            <w:vAlign w:val="center"/>
          </w:tcPr>
          <w:p w14:paraId="658A25E8">
            <w:pPr>
              <w:widowControl/>
              <w:jc w:val="center"/>
              <w:rPr>
                <w:rFonts w:ascii="宋体" w:hAnsi="宋体" w:eastAsia="宋体" w:cs="宋体"/>
                <w:kern w:val="0"/>
                <w:sz w:val="24"/>
                <w:szCs w:val="24"/>
                <w:highlight w:val="none"/>
              </w:rPr>
            </w:pPr>
          </w:p>
        </w:tc>
      </w:tr>
      <w:tr w14:paraId="039FA5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2E6D0C90">
            <w:pPr>
              <w:widowControl/>
              <w:jc w:val="center"/>
              <w:rPr>
                <w:rFonts w:ascii="宋体" w:hAnsi="宋体" w:eastAsia="宋体" w:cs="宋体"/>
                <w:kern w:val="0"/>
                <w:sz w:val="24"/>
                <w:szCs w:val="24"/>
              </w:rPr>
            </w:pPr>
          </w:p>
        </w:tc>
        <w:tc>
          <w:tcPr>
            <w:tcW w:w="1100" w:type="dxa"/>
            <w:vMerge w:val="continue"/>
            <w:vAlign w:val="center"/>
          </w:tcPr>
          <w:p w14:paraId="157D38D4">
            <w:pPr>
              <w:widowControl/>
              <w:jc w:val="center"/>
              <w:rPr>
                <w:rFonts w:ascii="宋体" w:hAnsi="宋体" w:eastAsia="宋体" w:cs="宋体"/>
                <w:kern w:val="0"/>
                <w:sz w:val="24"/>
                <w:szCs w:val="24"/>
                <w:highlight w:val="none"/>
              </w:rPr>
            </w:pPr>
          </w:p>
        </w:tc>
        <w:tc>
          <w:tcPr>
            <w:tcW w:w="3092" w:type="dxa"/>
            <w:vAlign w:val="center"/>
          </w:tcPr>
          <w:p w14:paraId="52FBD440">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环刚度</w:t>
            </w:r>
          </w:p>
        </w:tc>
        <w:tc>
          <w:tcPr>
            <w:tcW w:w="602" w:type="dxa"/>
            <w:vAlign w:val="center"/>
          </w:tcPr>
          <w:p w14:paraId="486AF0B9">
            <w:pPr>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组</w:t>
            </w:r>
          </w:p>
        </w:tc>
        <w:tc>
          <w:tcPr>
            <w:tcW w:w="533" w:type="dxa"/>
            <w:vAlign w:val="center"/>
          </w:tcPr>
          <w:p w14:paraId="7A0D86A3">
            <w:pPr>
              <w:keepNext w:val="0"/>
              <w:keepLines w:val="0"/>
              <w:widowControl/>
              <w:suppressLineNumbers w:val="0"/>
              <w:jc w:val="center"/>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54B1D7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5F11E9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18C7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70096C99">
            <w:pPr>
              <w:widowControl/>
              <w:jc w:val="center"/>
              <w:rPr>
                <w:rFonts w:ascii="宋体" w:hAnsi="宋体" w:eastAsia="宋体" w:cs="宋体"/>
                <w:kern w:val="0"/>
                <w:sz w:val="24"/>
                <w:szCs w:val="24"/>
              </w:rPr>
            </w:pPr>
          </w:p>
        </w:tc>
        <w:tc>
          <w:tcPr>
            <w:tcW w:w="1100" w:type="dxa"/>
            <w:vMerge w:val="continue"/>
            <w:vAlign w:val="center"/>
          </w:tcPr>
          <w:p w14:paraId="4CC712E3">
            <w:pPr>
              <w:widowControl/>
              <w:jc w:val="center"/>
              <w:rPr>
                <w:rFonts w:ascii="宋体" w:hAnsi="宋体" w:eastAsia="宋体" w:cs="宋体"/>
                <w:kern w:val="0"/>
                <w:sz w:val="24"/>
                <w:szCs w:val="24"/>
                <w:highlight w:val="none"/>
              </w:rPr>
            </w:pPr>
          </w:p>
        </w:tc>
        <w:tc>
          <w:tcPr>
            <w:tcW w:w="3092" w:type="dxa"/>
            <w:vAlign w:val="center"/>
          </w:tcPr>
          <w:p w14:paraId="2A4F1731">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环柔性</w:t>
            </w:r>
          </w:p>
        </w:tc>
        <w:tc>
          <w:tcPr>
            <w:tcW w:w="602" w:type="dxa"/>
            <w:vAlign w:val="center"/>
          </w:tcPr>
          <w:p w14:paraId="5AADA1CC">
            <w:pPr>
              <w:jc w:val="center"/>
              <w:rPr>
                <w:rFonts w:ascii="宋体" w:hAnsi="宋体" w:eastAsia="宋体" w:cs="宋体"/>
                <w:b/>
                <w:bCs/>
                <w:kern w:val="0"/>
                <w:sz w:val="24"/>
                <w:szCs w:val="24"/>
                <w:highlight w:val="none"/>
              </w:rPr>
            </w:pPr>
            <w:r>
              <w:rPr>
                <w:rFonts w:hint="eastAsia" w:ascii="宋体" w:hAnsi="宋体" w:eastAsia="宋体" w:cs="宋体"/>
                <w:kern w:val="0"/>
                <w:sz w:val="24"/>
                <w:szCs w:val="24"/>
                <w:highlight w:val="none"/>
              </w:rPr>
              <w:t>组</w:t>
            </w:r>
          </w:p>
        </w:tc>
        <w:tc>
          <w:tcPr>
            <w:tcW w:w="533" w:type="dxa"/>
            <w:vAlign w:val="center"/>
          </w:tcPr>
          <w:p w14:paraId="163BA6D1">
            <w:pPr>
              <w:keepNext w:val="0"/>
              <w:keepLines w:val="0"/>
              <w:widowControl/>
              <w:suppressLineNumbers w:val="0"/>
              <w:jc w:val="center"/>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30E0D9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2B2A4D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E63D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62BE34D9">
            <w:pPr>
              <w:widowControl/>
              <w:jc w:val="center"/>
              <w:rPr>
                <w:rFonts w:ascii="宋体" w:hAnsi="宋体" w:eastAsia="宋体" w:cs="宋体"/>
                <w:kern w:val="0"/>
                <w:sz w:val="24"/>
                <w:szCs w:val="24"/>
              </w:rPr>
            </w:pPr>
          </w:p>
        </w:tc>
        <w:tc>
          <w:tcPr>
            <w:tcW w:w="1100" w:type="dxa"/>
            <w:vMerge w:val="continue"/>
            <w:vAlign w:val="center"/>
          </w:tcPr>
          <w:p w14:paraId="6C9EF681">
            <w:pPr>
              <w:widowControl/>
              <w:jc w:val="center"/>
              <w:rPr>
                <w:rFonts w:ascii="宋体" w:hAnsi="宋体" w:eastAsia="宋体" w:cs="宋体"/>
                <w:kern w:val="0"/>
                <w:sz w:val="24"/>
                <w:szCs w:val="24"/>
                <w:highlight w:val="none"/>
              </w:rPr>
            </w:pPr>
          </w:p>
        </w:tc>
        <w:tc>
          <w:tcPr>
            <w:tcW w:w="3092" w:type="dxa"/>
            <w:vAlign w:val="center"/>
          </w:tcPr>
          <w:p w14:paraId="2808F37E">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冲击性能</w:t>
            </w:r>
          </w:p>
        </w:tc>
        <w:tc>
          <w:tcPr>
            <w:tcW w:w="602" w:type="dxa"/>
            <w:vAlign w:val="center"/>
          </w:tcPr>
          <w:p w14:paraId="6EFCE38C">
            <w:pPr>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组</w:t>
            </w:r>
          </w:p>
        </w:tc>
        <w:tc>
          <w:tcPr>
            <w:tcW w:w="533" w:type="dxa"/>
            <w:vAlign w:val="center"/>
          </w:tcPr>
          <w:p w14:paraId="5DFAABB7">
            <w:pPr>
              <w:keepNext w:val="0"/>
              <w:keepLines w:val="0"/>
              <w:widowControl/>
              <w:suppressLineNumbers w:val="0"/>
              <w:jc w:val="center"/>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296538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2A4EDB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6FBB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353FA55E">
            <w:pPr>
              <w:widowControl/>
              <w:jc w:val="center"/>
              <w:rPr>
                <w:rFonts w:ascii="宋体" w:hAnsi="宋体" w:eastAsia="宋体" w:cs="宋体"/>
                <w:kern w:val="0"/>
                <w:sz w:val="24"/>
                <w:szCs w:val="24"/>
              </w:rPr>
            </w:pPr>
          </w:p>
        </w:tc>
        <w:tc>
          <w:tcPr>
            <w:tcW w:w="1100" w:type="dxa"/>
            <w:vMerge w:val="continue"/>
            <w:vAlign w:val="center"/>
          </w:tcPr>
          <w:p w14:paraId="644BFE9C">
            <w:pPr>
              <w:widowControl/>
              <w:jc w:val="center"/>
              <w:rPr>
                <w:rFonts w:ascii="宋体" w:hAnsi="宋体" w:eastAsia="宋体" w:cs="宋体"/>
                <w:kern w:val="0"/>
                <w:sz w:val="24"/>
                <w:szCs w:val="24"/>
                <w:highlight w:val="none"/>
              </w:rPr>
            </w:pPr>
          </w:p>
        </w:tc>
        <w:tc>
          <w:tcPr>
            <w:tcW w:w="3092" w:type="dxa"/>
            <w:vAlign w:val="center"/>
          </w:tcPr>
          <w:p w14:paraId="66FA1522">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纵向回缩率</w:t>
            </w:r>
          </w:p>
        </w:tc>
        <w:tc>
          <w:tcPr>
            <w:tcW w:w="602" w:type="dxa"/>
            <w:vAlign w:val="center"/>
          </w:tcPr>
          <w:p w14:paraId="3643E7B3">
            <w:pPr>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组</w:t>
            </w:r>
          </w:p>
        </w:tc>
        <w:tc>
          <w:tcPr>
            <w:tcW w:w="533" w:type="dxa"/>
            <w:vAlign w:val="center"/>
          </w:tcPr>
          <w:p w14:paraId="1D631111">
            <w:pPr>
              <w:keepNext w:val="0"/>
              <w:keepLines w:val="0"/>
              <w:widowControl/>
              <w:suppressLineNumbers w:val="0"/>
              <w:jc w:val="center"/>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4F6409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36BA4C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511C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4CC0FC83">
            <w:pPr>
              <w:widowControl/>
              <w:jc w:val="center"/>
              <w:rPr>
                <w:rFonts w:ascii="宋体" w:hAnsi="宋体" w:eastAsia="宋体" w:cs="宋体"/>
                <w:kern w:val="0"/>
                <w:sz w:val="24"/>
                <w:szCs w:val="24"/>
              </w:rPr>
            </w:pPr>
          </w:p>
        </w:tc>
        <w:tc>
          <w:tcPr>
            <w:tcW w:w="1100" w:type="dxa"/>
            <w:vMerge w:val="continue"/>
            <w:vAlign w:val="center"/>
          </w:tcPr>
          <w:p w14:paraId="6B4A5CBB">
            <w:pPr>
              <w:widowControl/>
              <w:jc w:val="center"/>
              <w:rPr>
                <w:rFonts w:ascii="宋体" w:hAnsi="宋体" w:eastAsia="宋体" w:cs="宋体"/>
                <w:kern w:val="0"/>
                <w:sz w:val="24"/>
                <w:szCs w:val="24"/>
                <w:highlight w:val="none"/>
              </w:rPr>
            </w:pPr>
          </w:p>
        </w:tc>
        <w:tc>
          <w:tcPr>
            <w:tcW w:w="3092" w:type="dxa"/>
            <w:vAlign w:val="center"/>
          </w:tcPr>
          <w:p w14:paraId="43AAD0BF">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烘箱试验</w:t>
            </w:r>
          </w:p>
        </w:tc>
        <w:tc>
          <w:tcPr>
            <w:tcW w:w="602" w:type="dxa"/>
            <w:vAlign w:val="center"/>
          </w:tcPr>
          <w:p w14:paraId="7D5A4A72">
            <w:pPr>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组</w:t>
            </w:r>
          </w:p>
        </w:tc>
        <w:tc>
          <w:tcPr>
            <w:tcW w:w="533" w:type="dxa"/>
            <w:vAlign w:val="center"/>
          </w:tcPr>
          <w:p w14:paraId="3C50A10E">
            <w:pPr>
              <w:keepNext w:val="0"/>
              <w:keepLines w:val="0"/>
              <w:widowControl/>
              <w:suppressLineNumbers w:val="0"/>
              <w:jc w:val="center"/>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696A90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7C77B7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9835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56D49281">
            <w:pPr>
              <w:widowControl/>
              <w:jc w:val="center"/>
              <w:rPr>
                <w:rFonts w:ascii="宋体" w:hAnsi="宋体" w:eastAsia="宋体" w:cs="宋体"/>
                <w:kern w:val="0"/>
                <w:sz w:val="24"/>
                <w:szCs w:val="24"/>
              </w:rPr>
            </w:pPr>
          </w:p>
        </w:tc>
        <w:tc>
          <w:tcPr>
            <w:tcW w:w="1100" w:type="dxa"/>
            <w:vMerge w:val="continue"/>
            <w:vAlign w:val="center"/>
          </w:tcPr>
          <w:p w14:paraId="47572F55">
            <w:pPr>
              <w:widowControl/>
              <w:jc w:val="center"/>
              <w:rPr>
                <w:rFonts w:ascii="宋体" w:hAnsi="宋体" w:eastAsia="宋体" w:cs="宋体"/>
                <w:kern w:val="0"/>
                <w:sz w:val="24"/>
                <w:szCs w:val="24"/>
                <w:highlight w:val="none"/>
              </w:rPr>
            </w:pPr>
          </w:p>
        </w:tc>
        <w:tc>
          <w:tcPr>
            <w:tcW w:w="3092" w:type="dxa"/>
            <w:vAlign w:val="center"/>
          </w:tcPr>
          <w:p w14:paraId="049730A4">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熔接或焊接连接拉伸强度</w:t>
            </w:r>
          </w:p>
        </w:tc>
        <w:tc>
          <w:tcPr>
            <w:tcW w:w="602" w:type="dxa"/>
            <w:vAlign w:val="center"/>
          </w:tcPr>
          <w:p w14:paraId="67880359">
            <w:pPr>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组</w:t>
            </w:r>
          </w:p>
        </w:tc>
        <w:tc>
          <w:tcPr>
            <w:tcW w:w="533" w:type="dxa"/>
            <w:vAlign w:val="center"/>
          </w:tcPr>
          <w:p w14:paraId="7F4D37E4">
            <w:pPr>
              <w:keepNext w:val="0"/>
              <w:keepLines w:val="0"/>
              <w:widowControl/>
              <w:suppressLineNumbers w:val="0"/>
              <w:jc w:val="center"/>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000753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74C03B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B7F3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26948698">
            <w:pPr>
              <w:widowControl/>
              <w:jc w:val="center"/>
              <w:rPr>
                <w:rFonts w:ascii="宋体" w:hAnsi="宋体" w:eastAsia="宋体" w:cs="宋体"/>
                <w:kern w:val="0"/>
                <w:sz w:val="24"/>
                <w:szCs w:val="24"/>
              </w:rPr>
            </w:pPr>
          </w:p>
        </w:tc>
        <w:tc>
          <w:tcPr>
            <w:tcW w:w="1100" w:type="dxa"/>
            <w:vMerge w:val="continue"/>
            <w:vAlign w:val="center"/>
          </w:tcPr>
          <w:p w14:paraId="49DE3D18">
            <w:pPr>
              <w:widowControl/>
              <w:jc w:val="center"/>
              <w:rPr>
                <w:rFonts w:ascii="宋体" w:hAnsi="宋体" w:eastAsia="宋体" w:cs="宋体"/>
                <w:kern w:val="0"/>
                <w:sz w:val="24"/>
                <w:szCs w:val="24"/>
                <w:highlight w:val="none"/>
              </w:rPr>
            </w:pPr>
          </w:p>
        </w:tc>
        <w:tc>
          <w:tcPr>
            <w:tcW w:w="3092" w:type="dxa"/>
            <w:vAlign w:val="center"/>
          </w:tcPr>
          <w:p w14:paraId="58F8A5E6">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静液压强度（20℃）</w:t>
            </w:r>
          </w:p>
        </w:tc>
        <w:tc>
          <w:tcPr>
            <w:tcW w:w="602" w:type="dxa"/>
            <w:vAlign w:val="center"/>
          </w:tcPr>
          <w:p w14:paraId="664DA8ED">
            <w:pPr>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组</w:t>
            </w:r>
          </w:p>
        </w:tc>
        <w:tc>
          <w:tcPr>
            <w:tcW w:w="533" w:type="dxa"/>
            <w:vAlign w:val="center"/>
          </w:tcPr>
          <w:p w14:paraId="34AA527F">
            <w:pPr>
              <w:keepNext w:val="0"/>
              <w:keepLines w:val="0"/>
              <w:widowControl/>
              <w:suppressLineNumbers w:val="0"/>
              <w:jc w:val="center"/>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1E4A4B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4EE8D1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CA9D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68870A62">
            <w:pPr>
              <w:widowControl/>
              <w:jc w:val="center"/>
              <w:rPr>
                <w:rFonts w:ascii="宋体" w:hAnsi="宋体" w:eastAsia="宋体" w:cs="宋体"/>
                <w:kern w:val="0"/>
                <w:sz w:val="24"/>
                <w:szCs w:val="24"/>
              </w:rPr>
            </w:pPr>
          </w:p>
        </w:tc>
        <w:tc>
          <w:tcPr>
            <w:tcW w:w="1100" w:type="dxa"/>
            <w:vMerge w:val="continue"/>
            <w:vAlign w:val="center"/>
          </w:tcPr>
          <w:p w14:paraId="267B432C">
            <w:pPr>
              <w:widowControl/>
              <w:jc w:val="center"/>
              <w:rPr>
                <w:rFonts w:ascii="宋体" w:hAnsi="宋体" w:eastAsia="宋体" w:cs="宋体"/>
                <w:kern w:val="0"/>
                <w:sz w:val="24"/>
                <w:szCs w:val="24"/>
                <w:highlight w:val="none"/>
              </w:rPr>
            </w:pPr>
          </w:p>
        </w:tc>
        <w:tc>
          <w:tcPr>
            <w:tcW w:w="3092" w:type="dxa"/>
            <w:shd w:val="clear" w:color="auto" w:fill="auto"/>
            <w:vAlign w:val="center"/>
          </w:tcPr>
          <w:p w14:paraId="22CDA7D3">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钢管焊缝超声波检测</w:t>
            </w:r>
          </w:p>
        </w:tc>
        <w:tc>
          <w:tcPr>
            <w:tcW w:w="602" w:type="dxa"/>
            <w:shd w:val="clear" w:color="auto" w:fill="auto"/>
            <w:vAlign w:val="center"/>
          </w:tcPr>
          <w:p w14:paraId="5FECA812">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米</w:t>
            </w:r>
          </w:p>
        </w:tc>
        <w:tc>
          <w:tcPr>
            <w:tcW w:w="533" w:type="dxa"/>
            <w:vAlign w:val="center"/>
          </w:tcPr>
          <w:p w14:paraId="67C316E7">
            <w:pPr>
              <w:keepNext w:val="0"/>
              <w:keepLines w:val="0"/>
              <w:widowControl/>
              <w:suppressLineNumbers w:val="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10</w:t>
            </w:r>
          </w:p>
        </w:tc>
        <w:tc>
          <w:tcPr>
            <w:tcW w:w="1215" w:type="dxa"/>
            <w:vAlign w:val="center"/>
          </w:tcPr>
          <w:p w14:paraId="40FD6C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44EA19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FEB9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Align w:val="center"/>
          </w:tcPr>
          <w:p w14:paraId="1EB03E51">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1100" w:type="dxa"/>
            <w:vAlign w:val="center"/>
          </w:tcPr>
          <w:p w14:paraId="57F79DD3">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给水用PE管材</w:t>
            </w:r>
          </w:p>
        </w:tc>
        <w:tc>
          <w:tcPr>
            <w:tcW w:w="3092" w:type="dxa"/>
            <w:vAlign w:val="center"/>
          </w:tcPr>
          <w:p w14:paraId="5946C4E0">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卫生性能</w:t>
            </w:r>
          </w:p>
        </w:tc>
        <w:tc>
          <w:tcPr>
            <w:tcW w:w="602" w:type="dxa"/>
            <w:vAlign w:val="center"/>
          </w:tcPr>
          <w:p w14:paraId="6F2FC1D5">
            <w:pPr>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组</w:t>
            </w:r>
          </w:p>
        </w:tc>
        <w:tc>
          <w:tcPr>
            <w:tcW w:w="533" w:type="dxa"/>
            <w:vAlign w:val="center"/>
          </w:tcPr>
          <w:p w14:paraId="20ACFAF1">
            <w:pPr>
              <w:keepNext w:val="0"/>
              <w:keepLines w:val="0"/>
              <w:widowControl/>
              <w:suppressLineNumbers w:val="0"/>
              <w:jc w:val="center"/>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215" w:type="dxa"/>
            <w:vAlign w:val="center"/>
          </w:tcPr>
          <w:p w14:paraId="0FD6D3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5E5F4D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A64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restart"/>
            <w:vAlign w:val="center"/>
          </w:tcPr>
          <w:p w14:paraId="7B532C01">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1100" w:type="dxa"/>
            <w:vMerge w:val="restart"/>
            <w:vAlign w:val="center"/>
          </w:tcPr>
          <w:p w14:paraId="28139F09">
            <w:pPr>
              <w:widowControl/>
              <w:jc w:val="center"/>
              <w:rPr>
                <w:rFonts w:ascii="宋体" w:hAnsi="宋体" w:eastAsia="宋体" w:cs="宋体"/>
                <w:kern w:val="0"/>
                <w:sz w:val="24"/>
                <w:szCs w:val="24"/>
              </w:rPr>
            </w:pPr>
            <w:r>
              <w:rPr>
                <w:rFonts w:hint="eastAsia" w:ascii="宋体" w:hAnsi="宋体" w:eastAsia="宋体" w:cs="宋体"/>
                <w:kern w:val="0"/>
                <w:sz w:val="24"/>
                <w:szCs w:val="24"/>
              </w:rPr>
              <w:t>泡沫塑料（闭孔泡沫板、挤塑板）</w:t>
            </w:r>
          </w:p>
        </w:tc>
        <w:tc>
          <w:tcPr>
            <w:tcW w:w="3092" w:type="dxa"/>
            <w:vAlign w:val="center"/>
          </w:tcPr>
          <w:p w14:paraId="16412D24">
            <w:pPr>
              <w:widowControl/>
              <w:jc w:val="center"/>
              <w:rPr>
                <w:rFonts w:ascii="宋体" w:hAnsi="宋体" w:eastAsia="宋体" w:cs="宋体"/>
                <w:kern w:val="0"/>
                <w:sz w:val="24"/>
                <w:szCs w:val="24"/>
              </w:rPr>
            </w:pPr>
            <w:r>
              <w:rPr>
                <w:rFonts w:hint="eastAsia" w:ascii="宋体" w:hAnsi="宋体" w:eastAsia="宋体" w:cs="宋体"/>
                <w:kern w:val="0"/>
                <w:sz w:val="24"/>
                <w:szCs w:val="24"/>
              </w:rPr>
              <w:t>密度</w:t>
            </w:r>
          </w:p>
        </w:tc>
        <w:tc>
          <w:tcPr>
            <w:tcW w:w="602" w:type="dxa"/>
            <w:vAlign w:val="center"/>
          </w:tcPr>
          <w:p w14:paraId="2972CE46">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057BBC7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45A376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43D055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2400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4359001A">
            <w:pPr>
              <w:widowControl/>
              <w:jc w:val="center"/>
              <w:rPr>
                <w:rFonts w:ascii="宋体" w:hAnsi="宋体" w:eastAsia="宋体" w:cs="宋体"/>
                <w:kern w:val="0"/>
                <w:sz w:val="24"/>
                <w:szCs w:val="24"/>
              </w:rPr>
            </w:pPr>
          </w:p>
        </w:tc>
        <w:tc>
          <w:tcPr>
            <w:tcW w:w="1100" w:type="dxa"/>
            <w:vMerge w:val="continue"/>
            <w:vAlign w:val="center"/>
          </w:tcPr>
          <w:p w14:paraId="14E69096">
            <w:pPr>
              <w:widowControl/>
              <w:jc w:val="center"/>
              <w:rPr>
                <w:rFonts w:ascii="宋体" w:hAnsi="宋体" w:eastAsia="宋体" w:cs="宋体"/>
                <w:kern w:val="0"/>
                <w:sz w:val="24"/>
                <w:szCs w:val="24"/>
              </w:rPr>
            </w:pPr>
          </w:p>
        </w:tc>
        <w:tc>
          <w:tcPr>
            <w:tcW w:w="3092" w:type="dxa"/>
            <w:vAlign w:val="center"/>
          </w:tcPr>
          <w:p w14:paraId="6682F6A9">
            <w:pPr>
              <w:widowControl/>
              <w:jc w:val="center"/>
              <w:rPr>
                <w:rFonts w:ascii="宋体" w:hAnsi="宋体" w:eastAsia="宋体" w:cs="宋体"/>
                <w:kern w:val="0"/>
                <w:sz w:val="24"/>
                <w:szCs w:val="24"/>
              </w:rPr>
            </w:pPr>
            <w:r>
              <w:rPr>
                <w:rFonts w:hint="eastAsia" w:ascii="宋体" w:hAnsi="宋体" w:eastAsia="宋体" w:cs="宋体"/>
                <w:kern w:val="0"/>
                <w:sz w:val="24"/>
                <w:szCs w:val="24"/>
              </w:rPr>
              <w:t>吸水率</w:t>
            </w:r>
          </w:p>
        </w:tc>
        <w:tc>
          <w:tcPr>
            <w:tcW w:w="602" w:type="dxa"/>
            <w:vAlign w:val="center"/>
          </w:tcPr>
          <w:p w14:paraId="2FC285F8">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37F43073">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62F2DC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21B049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E91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2639D8FA">
            <w:pPr>
              <w:widowControl/>
              <w:jc w:val="center"/>
              <w:rPr>
                <w:rFonts w:ascii="宋体" w:hAnsi="宋体" w:eastAsia="宋体" w:cs="宋体"/>
                <w:kern w:val="0"/>
                <w:sz w:val="24"/>
                <w:szCs w:val="24"/>
              </w:rPr>
            </w:pPr>
          </w:p>
        </w:tc>
        <w:tc>
          <w:tcPr>
            <w:tcW w:w="1100" w:type="dxa"/>
            <w:vMerge w:val="continue"/>
            <w:vAlign w:val="center"/>
          </w:tcPr>
          <w:p w14:paraId="17B80AC0">
            <w:pPr>
              <w:widowControl/>
              <w:jc w:val="center"/>
              <w:rPr>
                <w:rFonts w:ascii="宋体" w:hAnsi="宋体" w:eastAsia="宋体" w:cs="宋体"/>
                <w:kern w:val="0"/>
                <w:sz w:val="24"/>
                <w:szCs w:val="24"/>
              </w:rPr>
            </w:pPr>
          </w:p>
        </w:tc>
        <w:tc>
          <w:tcPr>
            <w:tcW w:w="3092" w:type="dxa"/>
            <w:vAlign w:val="center"/>
          </w:tcPr>
          <w:p w14:paraId="39780E4B">
            <w:pPr>
              <w:widowControl/>
              <w:jc w:val="center"/>
              <w:rPr>
                <w:rFonts w:ascii="宋体" w:hAnsi="宋体" w:eastAsia="宋体" w:cs="宋体"/>
                <w:kern w:val="0"/>
                <w:sz w:val="24"/>
                <w:szCs w:val="24"/>
              </w:rPr>
            </w:pPr>
            <w:r>
              <w:rPr>
                <w:rFonts w:hint="eastAsia" w:ascii="宋体" w:hAnsi="宋体" w:eastAsia="宋体" w:cs="宋体"/>
                <w:kern w:val="0"/>
                <w:sz w:val="24"/>
                <w:szCs w:val="24"/>
              </w:rPr>
              <w:t>拉伸应力</w:t>
            </w:r>
          </w:p>
        </w:tc>
        <w:tc>
          <w:tcPr>
            <w:tcW w:w="602" w:type="dxa"/>
            <w:vAlign w:val="center"/>
          </w:tcPr>
          <w:p w14:paraId="673FFCFD">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5BF975F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60AEAC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717CF4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59D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77F56110">
            <w:pPr>
              <w:widowControl/>
              <w:jc w:val="center"/>
              <w:rPr>
                <w:rFonts w:ascii="宋体" w:hAnsi="宋体" w:eastAsia="宋体" w:cs="宋体"/>
                <w:kern w:val="0"/>
                <w:sz w:val="24"/>
                <w:szCs w:val="24"/>
              </w:rPr>
            </w:pPr>
          </w:p>
        </w:tc>
        <w:tc>
          <w:tcPr>
            <w:tcW w:w="1100" w:type="dxa"/>
            <w:vMerge w:val="continue"/>
            <w:vAlign w:val="center"/>
          </w:tcPr>
          <w:p w14:paraId="55A35D8E">
            <w:pPr>
              <w:widowControl/>
              <w:jc w:val="center"/>
              <w:rPr>
                <w:rFonts w:ascii="宋体" w:hAnsi="宋体" w:eastAsia="宋体" w:cs="宋体"/>
                <w:kern w:val="0"/>
                <w:sz w:val="24"/>
                <w:szCs w:val="24"/>
              </w:rPr>
            </w:pPr>
          </w:p>
        </w:tc>
        <w:tc>
          <w:tcPr>
            <w:tcW w:w="3092" w:type="dxa"/>
            <w:vAlign w:val="center"/>
          </w:tcPr>
          <w:p w14:paraId="44CB5D21">
            <w:pPr>
              <w:widowControl/>
              <w:jc w:val="center"/>
              <w:rPr>
                <w:rFonts w:ascii="宋体" w:hAnsi="宋体" w:eastAsia="宋体" w:cs="宋体"/>
                <w:kern w:val="0"/>
                <w:sz w:val="24"/>
                <w:szCs w:val="24"/>
              </w:rPr>
            </w:pPr>
            <w:r>
              <w:rPr>
                <w:rFonts w:hint="eastAsia" w:ascii="宋体" w:hAnsi="宋体" w:eastAsia="宋体" w:cs="宋体"/>
                <w:kern w:val="0"/>
                <w:sz w:val="24"/>
                <w:szCs w:val="24"/>
              </w:rPr>
              <w:t>压缩性能</w:t>
            </w:r>
          </w:p>
        </w:tc>
        <w:tc>
          <w:tcPr>
            <w:tcW w:w="602" w:type="dxa"/>
            <w:vAlign w:val="center"/>
          </w:tcPr>
          <w:p w14:paraId="58F6869A">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736B721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654EF5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54DB78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EBBF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05655CC9">
            <w:pPr>
              <w:widowControl/>
              <w:jc w:val="center"/>
              <w:rPr>
                <w:rFonts w:ascii="宋体" w:hAnsi="宋体" w:eastAsia="宋体" w:cs="宋体"/>
                <w:kern w:val="0"/>
                <w:sz w:val="24"/>
                <w:szCs w:val="24"/>
              </w:rPr>
            </w:pPr>
          </w:p>
        </w:tc>
        <w:tc>
          <w:tcPr>
            <w:tcW w:w="1100" w:type="dxa"/>
            <w:vMerge w:val="continue"/>
            <w:vAlign w:val="center"/>
          </w:tcPr>
          <w:p w14:paraId="281A52A1">
            <w:pPr>
              <w:widowControl/>
              <w:jc w:val="center"/>
              <w:rPr>
                <w:rFonts w:ascii="宋体" w:hAnsi="宋体" w:eastAsia="宋体" w:cs="宋体"/>
                <w:kern w:val="0"/>
                <w:sz w:val="24"/>
                <w:szCs w:val="24"/>
              </w:rPr>
            </w:pPr>
          </w:p>
        </w:tc>
        <w:tc>
          <w:tcPr>
            <w:tcW w:w="3092" w:type="dxa"/>
            <w:vAlign w:val="center"/>
          </w:tcPr>
          <w:p w14:paraId="2CAA1A0E">
            <w:pPr>
              <w:widowControl/>
              <w:jc w:val="center"/>
              <w:rPr>
                <w:rFonts w:ascii="宋体" w:hAnsi="宋体" w:eastAsia="宋体" w:cs="宋体"/>
                <w:kern w:val="0"/>
                <w:sz w:val="24"/>
                <w:szCs w:val="24"/>
              </w:rPr>
            </w:pPr>
            <w:r>
              <w:rPr>
                <w:rFonts w:hint="eastAsia" w:ascii="宋体" w:hAnsi="宋体" w:eastAsia="宋体" w:cs="宋体"/>
                <w:kern w:val="0"/>
                <w:sz w:val="24"/>
                <w:szCs w:val="24"/>
              </w:rPr>
              <w:t>撕裂强度</w:t>
            </w:r>
          </w:p>
        </w:tc>
        <w:tc>
          <w:tcPr>
            <w:tcW w:w="602" w:type="dxa"/>
            <w:vAlign w:val="center"/>
          </w:tcPr>
          <w:p w14:paraId="248E6F5C">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04FAB7F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7033BF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626F68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225C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restart"/>
            <w:vAlign w:val="center"/>
          </w:tcPr>
          <w:p w14:paraId="247D8BCD">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1100" w:type="dxa"/>
            <w:vMerge w:val="restart"/>
            <w:vAlign w:val="center"/>
          </w:tcPr>
          <w:p w14:paraId="0E324F9B">
            <w:pPr>
              <w:widowControl/>
              <w:jc w:val="center"/>
              <w:rPr>
                <w:rFonts w:ascii="宋体" w:hAnsi="宋体" w:eastAsia="宋体" w:cs="宋体"/>
                <w:kern w:val="0"/>
                <w:sz w:val="24"/>
                <w:szCs w:val="24"/>
              </w:rPr>
            </w:pPr>
            <w:r>
              <w:rPr>
                <w:rFonts w:hint="eastAsia" w:ascii="宋体" w:hAnsi="宋体" w:eastAsia="宋体" w:cs="宋体"/>
                <w:kern w:val="0"/>
                <w:sz w:val="24"/>
                <w:szCs w:val="24"/>
              </w:rPr>
              <w:t>土工</w:t>
            </w:r>
          </w:p>
        </w:tc>
        <w:tc>
          <w:tcPr>
            <w:tcW w:w="3092" w:type="dxa"/>
            <w:vAlign w:val="center"/>
          </w:tcPr>
          <w:p w14:paraId="24CEAD80">
            <w:pPr>
              <w:widowControl/>
              <w:jc w:val="center"/>
              <w:rPr>
                <w:rFonts w:ascii="宋体" w:hAnsi="宋体" w:eastAsia="宋体" w:cs="宋体"/>
                <w:kern w:val="0"/>
                <w:sz w:val="24"/>
                <w:szCs w:val="24"/>
              </w:rPr>
            </w:pPr>
            <w:r>
              <w:rPr>
                <w:rFonts w:hint="eastAsia" w:ascii="宋体" w:hAnsi="宋体" w:eastAsia="宋体" w:cs="宋体"/>
                <w:kern w:val="0"/>
                <w:sz w:val="24"/>
                <w:szCs w:val="24"/>
              </w:rPr>
              <w:t>比重</w:t>
            </w:r>
          </w:p>
        </w:tc>
        <w:tc>
          <w:tcPr>
            <w:tcW w:w="602" w:type="dxa"/>
            <w:vAlign w:val="center"/>
          </w:tcPr>
          <w:p w14:paraId="377D9EB3">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2346B2F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6B0A13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7F5475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C48A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2E17A120">
            <w:pPr>
              <w:widowControl/>
              <w:jc w:val="center"/>
              <w:rPr>
                <w:rFonts w:ascii="宋体" w:hAnsi="宋体" w:eastAsia="宋体" w:cs="宋体"/>
                <w:kern w:val="0"/>
                <w:sz w:val="24"/>
                <w:szCs w:val="24"/>
              </w:rPr>
            </w:pPr>
          </w:p>
        </w:tc>
        <w:tc>
          <w:tcPr>
            <w:tcW w:w="1100" w:type="dxa"/>
            <w:vMerge w:val="continue"/>
            <w:vAlign w:val="center"/>
          </w:tcPr>
          <w:p w14:paraId="3E0AAB1B">
            <w:pPr>
              <w:widowControl/>
              <w:jc w:val="center"/>
              <w:rPr>
                <w:rFonts w:ascii="宋体" w:hAnsi="宋体" w:eastAsia="宋体" w:cs="宋体"/>
                <w:kern w:val="0"/>
                <w:sz w:val="24"/>
                <w:szCs w:val="24"/>
              </w:rPr>
            </w:pPr>
          </w:p>
        </w:tc>
        <w:tc>
          <w:tcPr>
            <w:tcW w:w="3092" w:type="dxa"/>
            <w:vAlign w:val="center"/>
          </w:tcPr>
          <w:p w14:paraId="3276787B">
            <w:pPr>
              <w:widowControl/>
              <w:jc w:val="center"/>
              <w:rPr>
                <w:rFonts w:ascii="宋体" w:hAnsi="宋体" w:eastAsia="宋体" w:cs="宋体"/>
                <w:kern w:val="0"/>
                <w:sz w:val="24"/>
                <w:szCs w:val="24"/>
              </w:rPr>
            </w:pPr>
            <w:r>
              <w:rPr>
                <w:rFonts w:hint="eastAsia" w:ascii="宋体" w:hAnsi="宋体" w:eastAsia="宋体" w:cs="宋体"/>
                <w:kern w:val="0"/>
                <w:sz w:val="24"/>
                <w:szCs w:val="24"/>
              </w:rPr>
              <w:t>颗粒分析（筛分/密度计）</w:t>
            </w:r>
          </w:p>
        </w:tc>
        <w:tc>
          <w:tcPr>
            <w:tcW w:w="602" w:type="dxa"/>
            <w:vAlign w:val="center"/>
          </w:tcPr>
          <w:p w14:paraId="00703023">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593CF89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438705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2B9FC7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A2F4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6CFA32B4">
            <w:pPr>
              <w:widowControl/>
              <w:jc w:val="center"/>
              <w:rPr>
                <w:rFonts w:ascii="宋体" w:hAnsi="宋体" w:eastAsia="宋体" w:cs="宋体"/>
                <w:kern w:val="0"/>
                <w:sz w:val="24"/>
                <w:szCs w:val="24"/>
              </w:rPr>
            </w:pPr>
          </w:p>
        </w:tc>
        <w:tc>
          <w:tcPr>
            <w:tcW w:w="1100" w:type="dxa"/>
            <w:vMerge w:val="continue"/>
            <w:vAlign w:val="center"/>
          </w:tcPr>
          <w:p w14:paraId="27B25B91">
            <w:pPr>
              <w:widowControl/>
              <w:jc w:val="center"/>
              <w:rPr>
                <w:rFonts w:ascii="宋体" w:hAnsi="宋体" w:eastAsia="宋体" w:cs="宋体"/>
                <w:kern w:val="0"/>
                <w:sz w:val="24"/>
                <w:szCs w:val="24"/>
              </w:rPr>
            </w:pPr>
          </w:p>
        </w:tc>
        <w:tc>
          <w:tcPr>
            <w:tcW w:w="3092" w:type="dxa"/>
            <w:vAlign w:val="center"/>
          </w:tcPr>
          <w:p w14:paraId="21B2356B">
            <w:pPr>
              <w:widowControl/>
              <w:jc w:val="center"/>
              <w:rPr>
                <w:rFonts w:ascii="宋体" w:hAnsi="宋体" w:eastAsia="宋体" w:cs="宋体"/>
                <w:kern w:val="0"/>
                <w:sz w:val="24"/>
                <w:szCs w:val="24"/>
              </w:rPr>
            </w:pPr>
            <w:r>
              <w:rPr>
                <w:rFonts w:hint="eastAsia" w:ascii="宋体" w:hAnsi="宋体" w:eastAsia="宋体" w:cs="宋体"/>
                <w:kern w:val="0"/>
                <w:sz w:val="24"/>
                <w:szCs w:val="24"/>
              </w:rPr>
              <w:t>界限含水率</w:t>
            </w:r>
          </w:p>
        </w:tc>
        <w:tc>
          <w:tcPr>
            <w:tcW w:w="602" w:type="dxa"/>
            <w:vAlign w:val="center"/>
          </w:tcPr>
          <w:p w14:paraId="2ED8BB6C">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5F97BCC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6F08CD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2EE309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45A0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38D8CB64">
            <w:pPr>
              <w:widowControl/>
              <w:jc w:val="center"/>
              <w:rPr>
                <w:rFonts w:ascii="宋体" w:hAnsi="宋体" w:eastAsia="宋体" w:cs="宋体"/>
                <w:kern w:val="0"/>
                <w:sz w:val="24"/>
                <w:szCs w:val="24"/>
              </w:rPr>
            </w:pPr>
          </w:p>
        </w:tc>
        <w:tc>
          <w:tcPr>
            <w:tcW w:w="1100" w:type="dxa"/>
            <w:vMerge w:val="continue"/>
            <w:vAlign w:val="center"/>
          </w:tcPr>
          <w:p w14:paraId="59D09824">
            <w:pPr>
              <w:widowControl/>
              <w:jc w:val="center"/>
              <w:rPr>
                <w:rFonts w:ascii="宋体" w:hAnsi="宋体" w:eastAsia="宋体" w:cs="宋体"/>
                <w:kern w:val="0"/>
                <w:sz w:val="24"/>
                <w:szCs w:val="24"/>
              </w:rPr>
            </w:pPr>
          </w:p>
        </w:tc>
        <w:tc>
          <w:tcPr>
            <w:tcW w:w="3092" w:type="dxa"/>
            <w:vAlign w:val="center"/>
          </w:tcPr>
          <w:p w14:paraId="05E5F41C">
            <w:pPr>
              <w:widowControl/>
              <w:jc w:val="center"/>
              <w:rPr>
                <w:rFonts w:ascii="宋体" w:hAnsi="宋体" w:eastAsia="宋体" w:cs="宋体"/>
                <w:kern w:val="0"/>
                <w:sz w:val="24"/>
                <w:szCs w:val="24"/>
              </w:rPr>
            </w:pPr>
            <w:r>
              <w:rPr>
                <w:rFonts w:hint="eastAsia" w:ascii="宋体" w:hAnsi="宋体" w:eastAsia="宋体" w:cs="宋体"/>
                <w:kern w:val="0"/>
                <w:sz w:val="24"/>
                <w:szCs w:val="24"/>
              </w:rPr>
              <w:t>相对密度</w:t>
            </w:r>
          </w:p>
        </w:tc>
        <w:tc>
          <w:tcPr>
            <w:tcW w:w="602" w:type="dxa"/>
            <w:vAlign w:val="center"/>
          </w:tcPr>
          <w:p w14:paraId="28B77FCF">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324C025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2AC866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24CF25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FFE4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42DA942C">
            <w:pPr>
              <w:widowControl/>
              <w:jc w:val="center"/>
              <w:rPr>
                <w:rFonts w:ascii="宋体" w:hAnsi="宋体" w:eastAsia="宋体" w:cs="宋体"/>
                <w:kern w:val="0"/>
                <w:sz w:val="24"/>
                <w:szCs w:val="24"/>
              </w:rPr>
            </w:pPr>
          </w:p>
        </w:tc>
        <w:tc>
          <w:tcPr>
            <w:tcW w:w="1100" w:type="dxa"/>
            <w:vMerge w:val="continue"/>
            <w:vAlign w:val="center"/>
          </w:tcPr>
          <w:p w14:paraId="23400EA2">
            <w:pPr>
              <w:widowControl/>
              <w:jc w:val="center"/>
              <w:rPr>
                <w:rFonts w:ascii="宋体" w:hAnsi="宋体" w:eastAsia="宋体" w:cs="宋体"/>
                <w:kern w:val="0"/>
                <w:sz w:val="24"/>
                <w:szCs w:val="24"/>
              </w:rPr>
            </w:pPr>
          </w:p>
        </w:tc>
        <w:tc>
          <w:tcPr>
            <w:tcW w:w="3092" w:type="dxa"/>
            <w:vAlign w:val="center"/>
          </w:tcPr>
          <w:p w14:paraId="25894F7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击实（小件/大件）</w:t>
            </w:r>
          </w:p>
        </w:tc>
        <w:tc>
          <w:tcPr>
            <w:tcW w:w="602" w:type="dxa"/>
            <w:vAlign w:val="center"/>
          </w:tcPr>
          <w:p w14:paraId="3041D614">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组</w:t>
            </w:r>
          </w:p>
        </w:tc>
        <w:tc>
          <w:tcPr>
            <w:tcW w:w="533" w:type="dxa"/>
            <w:vAlign w:val="center"/>
          </w:tcPr>
          <w:p w14:paraId="246CD92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215" w:type="dxa"/>
            <w:vAlign w:val="center"/>
          </w:tcPr>
          <w:p w14:paraId="492DFB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2BAFF8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870F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restart"/>
            <w:vAlign w:val="center"/>
          </w:tcPr>
          <w:p w14:paraId="6A1BCB63">
            <w:pPr>
              <w:widowControl/>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1100" w:type="dxa"/>
            <w:vMerge w:val="restart"/>
            <w:vAlign w:val="center"/>
          </w:tcPr>
          <w:p w14:paraId="3A83BD43">
            <w:pPr>
              <w:widowControl/>
              <w:jc w:val="center"/>
              <w:rPr>
                <w:rFonts w:ascii="宋体" w:hAnsi="宋体" w:eastAsia="宋体" w:cs="宋体"/>
                <w:kern w:val="0"/>
                <w:sz w:val="24"/>
                <w:szCs w:val="24"/>
              </w:rPr>
            </w:pPr>
            <w:r>
              <w:rPr>
                <w:rFonts w:hint="eastAsia" w:ascii="宋体" w:hAnsi="宋体" w:eastAsia="宋体" w:cs="宋体"/>
                <w:kern w:val="0"/>
                <w:sz w:val="24"/>
                <w:szCs w:val="24"/>
              </w:rPr>
              <w:t>地基</w:t>
            </w:r>
          </w:p>
        </w:tc>
        <w:tc>
          <w:tcPr>
            <w:tcW w:w="3092" w:type="dxa"/>
            <w:vAlign w:val="center"/>
          </w:tcPr>
          <w:p w14:paraId="3298AC24">
            <w:pPr>
              <w:widowControl/>
              <w:jc w:val="center"/>
              <w:rPr>
                <w:rFonts w:ascii="宋体" w:hAnsi="宋体" w:eastAsia="宋体" w:cs="宋体"/>
                <w:kern w:val="0"/>
                <w:sz w:val="24"/>
                <w:szCs w:val="24"/>
              </w:rPr>
            </w:pPr>
            <w:r>
              <w:rPr>
                <w:rFonts w:hint="eastAsia" w:ascii="宋体" w:hAnsi="宋体" w:eastAsia="宋体" w:cs="宋体"/>
                <w:kern w:val="0"/>
                <w:sz w:val="24"/>
                <w:szCs w:val="24"/>
              </w:rPr>
              <w:t>环刀法测原位密度（压实度）</w:t>
            </w:r>
          </w:p>
        </w:tc>
        <w:tc>
          <w:tcPr>
            <w:tcW w:w="602" w:type="dxa"/>
            <w:vAlign w:val="center"/>
          </w:tcPr>
          <w:p w14:paraId="554A2D0B">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46D8300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78D72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789945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03A9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729668EE">
            <w:pPr>
              <w:widowControl/>
              <w:jc w:val="center"/>
              <w:rPr>
                <w:rFonts w:ascii="宋体" w:hAnsi="宋体" w:eastAsia="宋体" w:cs="宋体"/>
                <w:kern w:val="0"/>
                <w:sz w:val="24"/>
                <w:szCs w:val="24"/>
              </w:rPr>
            </w:pPr>
          </w:p>
        </w:tc>
        <w:tc>
          <w:tcPr>
            <w:tcW w:w="1100" w:type="dxa"/>
            <w:vMerge w:val="continue"/>
            <w:vAlign w:val="center"/>
          </w:tcPr>
          <w:p w14:paraId="3D1CC45D">
            <w:pPr>
              <w:widowControl/>
              <w:jc w:val="center"/>
              <w:rPr>
                <w:rFonts w:ascii="宋体" w:hAnsi="宋体" w:eastAsia="宋体" w:cs="宋体"/>
                <w:kern w:val="0"/>
                <w:sz w:val="24"/>
                <w:szCs w:val="24"/>
              </w:rPr>
            </w:pPr>
          </w:p>
        </w:tc>
        <w:tc>
          <w:tcPr>
            <w:tcW w:w="3092" w:type="dxa"/>
            <w:vAlign w:val="center"/>
          </w:tcPr>
          <w:p w14:paraId="0955C5F1">
            <w:pPr>
              <w:widowControl/>
              <w:jc w:val="center"/>
              <w:rPr>
                <w:rFonts w:ascii="宋体" w:hAnsi="宋体" w:eastAsia="宋体" w:cs="宋体"/>
                <w:kern w:val="0"/>
                <w:sz w:val="24"/>
                <w:szCs w:val="24"/>
              </w:rPr>
            </w:pPr>
            <w:r>
              <w:rPr>
                <w:rFonts w:hint="eastAsia" w:ascii="宋体" w:hAnsi="宋体" w:eastAsia="宋体" w:cs="宋体"/>
                <w:kern w:val="0"/>
                <w:sz w:val="24"/>
                <w:szCs w:val="24"/>
              </w:rPr>
              <w:t>灌砂法测原位密度（压实度）</w:t>
            </w:r>
          </w:p>
        </w:tc>
        <w:tc>
          <w:tcPr>
            <w:tcW w:w="602" w:type="dxa"/>
            <w:vAlign w:val="center"/>
          </w:tcPr>
          <w:p w14:paraId="2822ADD8">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7963277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7D6DCD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38758F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A115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4BA21FF1">
            <w:pPr>
              <w:widowControl/>
              <w:jc w:val="center"/>
              <w:rPr>
                <w:rFonts w:ascii="宋体" w:hAnsi="宋体" w:eastAsia="宋体" w:cs="宋体"/>
                <w:kern w:val="0"/>
                <w:sz w:val="24"/>
                <w:szCs w:val="24"/>
              </w:rPr>
            </w:pPr>
          </w:p>
        </w:tc>
        <w:tc>
          <w:tcPr>
            <w:tcW w:w="1100" w:type="dxa"/>
            <w:vMerge w:val="continue"/>
            <w:vAlign w:val="center"/>
          </w:tcPr>
          <w:p w14:paraId="60DE247A">
            <w:pPr>
              <w:widowControl/>
              <w:jc w:val="center"/>
              <w:rPr>
                <w:rFonts w:ascii="宋体" w:hAnsi="宋体" w:eastAsia="宋体" w:cs="宋体"/>
                <w:kern w:val="0"/>
                <w:sz w:val="24"/>
                <w:szCs w:val="24"/>
              </w:rPr>
            </w:pPr>
          </w:p>
        </w:tc>
        <w:tc>
          <w:tcPr>
            <w:tcW w:w="3092" w:type="dxa"/>
            <w:vAlign w:val="center"/>
          </w:tcPr>
          <w:p w14:paraId="6B17D381">
            <w:pPr>
              <w:widowControl/>
              <w:jc w:val="center"/>
              <w:rPr>
                <w:rFonts w:ascii="宋体" w:hAnsi="宋体" w:eastAsia="宋体" w:cs="宋体"/>
                <w:kern w:val="0"/>
                <w:sz w:val="24"/>
                <w:szCs w:val="24"/>
              </w:rPr>
            </w:pPr>
            <w:r>
              <w:rPr>
                <w:rFonts w:hint="eastAsia" w:ascii="宋体" w:hAnsi="宋体" w:eastAsia="宋体" w:cs="宋体"/>
                <w:kern w:val="0"/>
                <w:sz w:val="24"/>
                <w:szCs w:val="24"/>
              </w:rPr>
              <w:t>灌水法测原位密度（压实度）</w:t>
            </w:r>
          </w:p>
        </w:tc>
        <w:tc>
          <w:tcPr>
            <w:tcW w:w="602" w:type="dxa"/>
            <w:vAlign w:val="center"/>
          </w:tcPr>
          <w:p w14:paraId="5D50C582">
            <w:pPr>
              <w:jc w:val="center"/>
              <w:rPr>
                <w:rFonts w:ascii="宋体" w:hAnsi="宋体" w:eastAsia="宋体" w:cs="宋体"/>
                <w:kern w:val="0"/>
                <w:sz w:val="24"/>
                <w:szCs w:val="24"/>
              </w:rPr>
            </w:pPr>
            <w:r>
              <w:rPr>
                <w:rFonts w:hint="eastAsia" w:ascii="宋体" w:hAnsi="宋体" w:eastAsia="宋体" w:cs="宋体"/>
                <w:kern w:val="0"/>
                <w:sz w:val="24"/>
                <w:szCs w:val="24"/>
              </w:rPr>
              <w:t>组</w:t>
            </w:r>
          </w:p>
        </w:tc>
        <w:tc>
          <w:tcPr>
            <w:tcW w:w="533" w:type="dxa"/>
            <w:vAlign w:val="center"/>
          </w:tcPr>
          <w:p w14:paraId="1C242FC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1EA068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27C16D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727C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Align w:val="center"/>
          </w:tcPr>
          <w:p w14:paraId="23507558">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1100" w:type="dxa"/>
            <w:vAlign w:val="center"/>
          </w:tcPr>
          <w:p w14:paraId="12527B3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桩基</w:t>
            </w:r>
          </w:p>
        </w:tc>
        <w:tc>
          <w:tcPr>
            <w:tcW w:w="3092" w:type="dxa"/>
            <w:vAlign w:val="center"/>
          </w:tcPr>
          <w:p w14:paraId="20814644">
            <w:pPr>
              <w:widowControl/>
              <w:jc w:val="center"/>
              <w:rPr>
                <w:rFonts w:ascii="宋体" w:hAnsi="宋体" w:eastAsia="宋体" w:cs="宋体"/>
                <w:kern w:val="0"/>
                <w:sz w:val="24"/>
                <w:szCs w:val="24"/>
              </w:rPr>
            </w:pPr>
            <w:r>
              <w:rPr>
                <w:rFonts w:hint="eastAsia" w:ascii="宋体" w:hAnsi="宋体" w:eastAsia="宋体" w:cs="宋体"/>
                <w:kern w:val="0"/>
                <w:sz w:val="24"/>
                <w:szCs w:val="24"/>
              </w:rPr>
              <w:t>小应变检测桩身完整性</w:t>
            </w:r>
          </w:p>
        </w:tc>
        <w:tc>
          <w:tcPr>
            <w:tcW w:w="602" w:type="dxa"/>
            <w:vAlign w:val="center"/>
          </w:tcPr>
          <w:p w14:paraId="32649417">
            <w:pPr>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533" w:type="dxa"/>
            <w:vAlign w:val="center"/>
          </w:tcPr>
          <w:p w14:paraId="517A536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215" w:type="dxa"/>
            <w:vAlign w:val="center"/>
          </w:tcPr>
          <w:p w14:paraId="2B31BB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4C1978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1B3F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restart"/>
            <w:vAlign w:val="center"/>
          </w:tcPr>
          <w:p w14:paraId="5B3AB185">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1100" w:type="dxa"/>
            <w:vMerge w:val="restart"/>
            <w:vAlign w:val="center"/>
          </w:tcPr>
          <w:p w14:paraId="7109849B">
            <w:pPr>
              <w:widowControl/>
              <w:jc w:val="center"/>
              <w:rPr>
                <w:rFonts w:ascii="宋体" w:hAnsi="宋体" w:eastAsia="宋体" w:cs="宋体"/>
                <w:kern w:val="0"/>
                <w:sz w:val="24"/>
                <w:szCs w:val="24"/>
              </w:rPr>
            </w:pPr>
            <w:r>
              <w:rPr>
                <w:rFonts w:hint="eastAsia" w:ascii="宋体" w:hAnsi="宋体" w:eastAsia="宋体" w:cs="宋体"/>
                <w:kern w:val="0"/>
                <w:sz w:val="24"/>
                <w:szCs w:val="24"/>
              </w:rPr>
              <w:t>现场取芯</w:t>
            </w:r>
          </w:p>
        </w:tc>
        <w:tc>
          <w:tcPr>
            <w:tcW w:w="3092" w:type="dxa"/>
            <w:vAlign w:val="center"/>
          </w:tcPr>
          <w:p w14:paraId="698A3DBE">
            <w:pPr>
              <w:widowControl/>
              <w:jc w:val="center"/>
              <w:rPr>
                <w:rFonts w:ascii="宋体" w:hAnsi="宋体" w:eastAsia="宋体" w:cs="宋体"/>
                <w:kern w:val="0"/>
                <w:sz w:val="24"/>
                <w:szCs w:val="24"/>
              </w:rPr>
            </w:pPr>
            <w:r>
              <w:rPr>
                <w:rFonts w:hint="eastAsia" w:ascii="宋体" w:hAnsi="宋体" w:eastAsia="宋体" w:cs="宋体"/>
                <w:kern w:val="0"/>
                <w:sz w:val="24"/>
                <w:szCs w:val="24"/>
              </w:rPr>
              <w:t>压实度</w:t>
            </w:r>
          </w:p>
        </w:tc>
        <w:tc>
          <w:tcPr>
            <w:tcW w:w="602" w:type="dxa"/>
            <w:vAlign w:val="center"/>
          </w:tcPr>
          <w:p w14:paraId="341FA950">
            <w:pPr>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33" w:type="dxa"/>
            <w:vAlign w:val="center"/>
          </w:tcPr>
          <w:p w14:paraId="7980AB3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215" w:type="dxa"/>
            <w:vAlign w:val="center"/>
          </w:tcPr>
          <w:p w14:paraId="6191BA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0CBE75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B09A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25ABA934">
            <w:pPr>
              <w:widowControl/>
              <w:jc w:val="center"/>
              <w:rPr>
                <w:rFonts w:ascii="宋体" w:hAnsi="宋体" w:eastAsia="宋体" w:cs="宋体"/>
                <w:kern w:val="0"/>
                <w:sz w:val="24"/>
                <w:szCs w:val="24"/>
              </w:rPr>
            </w:pPr>
          </w:p>
        </w:tc>
        <w:tc>
          <w:tcPr>
            <w:tcW w:w="1100" w:type="dxa"/>
            <w:vMerge w:val="continue"/>
            <w:vAlign w:val="center"/>
          </w:tcPr>
          <w:p w14:paraId="657177FC">
            <w:pPr>
              <w:widowControl/>
              <w:jc w:val="center"/>
              <w:rPr>
                <w:rFonts w:ascii="宋体" w:hAnsi="宋体" w:eastAsia="宋体" w:cs="宋体"/>
                <w:kern w:val="0"/>
                <w:sz w:val="24"/>
                <w:szCs w:val="24"/>
              </w:rPr>
            </w:pPr>
          </w:p>
        </w:tc>
        <w:tc>
          <w:tcPr>
            <w:tcW w:w="3092" w:type="dxa"/>
            <w:vAlign w:val="center"/>
          </w:tcPr>
          <w:p w14:paraId="38B8635B">
            <w:pPr>
              <w:widowControl/>
              <w:jc w:val="center"/>
              <w:rPr>
                <w:rFonts w:ascii="宋体" w:hAnsi="宋体" w:eastAsia="宋体" w:cs="宋体"/>
                <w:kern w:val="0"/>
                <w:sz w:val="24"/>
                <w:szCs w:val="24"/>
              </w:rPr>
            </w:pPr>
            <w:r>
              <w:rPr>
                <w:rFonts w:hint="eastAsia" w:ascii="宋体" w:hAnsi="宋体" w:eastAsia="宋体" w:cs="宋体"/>
                <w:kern w:val="0"/>
                <w:sz w:val="24"/>
                <w:szCs w:val="24"/>
              </w:rPr>
              <w:t>厚度</w:t>
            </w:r>
          </w:p>
        </w:tc>
        <w:tc>
          <w:tcPr>
            <w:tcW w:w="602" w:type="dxa"/>
            <w:vAlign w:val="center"/>
          </w:tcPr>
          <w:p w14:paraId="2D6AD921">
            <w:pPr>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533" w:type="dxa"/>
            <w:vAlign w:val="center"/>
          </w:tcPr>
          <w:p w14:paraId="5F39163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215" w:type="dxa"/>
            <w:vAlign w:val="center"/>
          </w:tcPr>
          <w:p w14:paraId="498E6A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274AD6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B757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restart"/>
            <w:vAlign w:val="center"/>
          </w:tcPr>
          <w:p w14:paraId="0D02F7B0">
            <w:pPr>
              <w:widowControl/>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w:t>
            </w:r>
          </w:p>
        </w:tc>
        <w:tc>
          <w:tcPr>
            <w:tcW w:w="1100" w:type="dxa"/>
            <w:vMerge w:val="restart"/>
            <w:vAlign w:val="center"/>
          </w:tcPr>
          <w:p w14:paraId="386B66C9">
            <w:pPr>
              <w:widowControl/>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量测类</w:t>
            </w:r>
          </w:p>
        </w:tc>
        <w:tc>
          <w:tcPr>
            <w:tcW w:w="3092" w:type="dxa"/>
            <w:vAlign w:val="center"/>
          </w:tcPr>
          <w:p w14:paraId="5B61A686">
            <w:pPr>
              <w:widowControl/>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高程</w:t>
            </w:r>
          </w:p>
        </w:tc>
        <w:tc>
          <w:tcPr>
            <w:tcW w:w="602" w:type="dxa"/>
            <w:vAlign w:val="center"/>
          </w:tcPr>
          <w:p w14:paraId="61407306">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组</w:t>
            </w:r>
          </w:p>
        </w:tc>
        <w:tc>
          <w:tcPr>
            <w:tcW w:w="533" w:type="dxa"/>
            <w:vAlign w:val="center"/>
          </w:tcPr>
          <w:p w14:paraId="1F7FF950">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15" w:type="dxa"/>
            <w:vAlign w:val="center"/>
          </w:tcPr>
          <w:p w14:paraId="0B577D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59CA38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A0C4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2F493927">
            <w:pPr>
              <w:widowControl/>
              <w:jc w:val="center"/>
              <w:rPr>
                <w:rFonts w:hint="eastAsia" w:ascii="宋体" w:hAnsi="宋体" w:eastAsia="宋体" w:cs="宋体"/>
                <w:kern w:val="0"/>
                <w:sz w:val="24"/>
                <w:szCs w:val="24"/>
                <w:highlight w:val="none"/>
                <w:lang w:val="en-US" w:eastAsia="zh-CN"/>
              </w:rPr>
            </w:pPr>
          </w:p>
        </w:tc>
        <w:tc>
          <w:tcPr>
            <w:tcW w:w="1100" w:type="dxa"/>
            <w:vMerge w:val="continue"/>
            <w:vAlign w:val="center"/>
          </w:tcPr>
          <w:p w14:paraId="75E27404">
            <w:pPr>
              <w:widowControl/>
              <w:jc w:val="center"/>
              <w:rPr>
                <w:rFonts w:hint="eastAsia" w:ascii="宋体" w:hAnsi="宋体" w:eastAsia="宋体" w:cs="宋体"/>
                <w:kern w:val="0"/>
                <w:sz w:val="24"/>
                <w:szCs w:val="24"/>
                <w:highlight w:val="none"/>
                <w:lang w:eastAsia="zh-CN"/>
              </w:rPr>
            </w:pPr>
          </w:p>
        </w:tc>
        <w:tc>
          <w:tcPr>
            <w:tcW w:w="3092" w:type="dxa"/>
            <w:vAlign w:val="center"/>
          </w:tcPr>
          <w:p w14:paraId="5679CA14">
            <w:pPr>
              <w:widowControl/>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几何尺寸</w:t>
            </w:r>
          </w:p>
        </w:tc>
        <w:tc>
          <w:tcPr>
            <w:tcW w:w="602" w:type="dxa"/>
            <w:vAlign w:val="center"/>
          </w:tcPr>
          <w:p w14:paraId="42298B84">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组</w:t>
            </w:r>
          </w:p>
        </w:tc>
        <w:tc>
          <w:tcPr>
            <w:tcW w:w="533" w:type="dxa"/>
            <w:vAlign w:val="center"/>
          </w:tcPr>
          <w:p w14:paraId="2FE19783">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15" w:type="dxa"/>
            <w:vAlign w:val="center"/>
          </w:tcPr>
          <w:p w14:paraId="13A6F6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24F361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78B9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Merge w:val="continue"/>
            <w:vAlign w:val="center"/>
          </w:tcPr>
          <w:p w14:paraId="0B88C312">
            <w:pPr>
              <w:widowControl/>
              <w:jc w:val="center"/>
              <w:rPr>
                <w:rFonts w:hint="eastAsia" w:ascii="宋体" w:hAnsi="宋体" w:eastAsia="宋体" w:cs="宋体"/>
                <w:kern w:val="0"/>
                <w:sz w:val="24"/>
                <w:szCs w:val="24"/>
                <w:highlight w:val="none"/>
                <w:lang w:val="en-US" w:eastAsia="zh-CN"/>
              </w:rPr>
            </w:pPr>
          </w:p>
        </w:tc>
        <w:tc>
          <w:tcPr>
            <w:tcW w:w="1100" w:type="dxa"/>
            <w:vMerge w:val="continue"/>
            <w:vAlign w:val="center"/>
          </w:tcPr>
          <w:p w14:paraId="287AAC3F">
            <w:pPr>
              <w:widowControl/>
              <w:jc w:val="center"/>
              <w:rPr>
                <w:rFonts w:hint="eastAsia" w:ascii="宋体" w:hAnsi="宋体" w:eastAsia="宋体" w:cs="宋体"/>
                <w:kern w:val="0"/>
                <w:sz w:val="24"/>
                <w:szCs w:val="24"/>
                <w:highlight w:val="none"/>
                <w:lang w:eastAsia="zh-CN"/>
              </w:rPr>
            </w:pPr>
          </w:p>
        </w:tc>
        <w:tc>
          <w:tcPr>
            <w:tcW w:w="3092" w:type="dxa"/>
            <w:vAlign w:val="center"/>
          </w:tcPr>
          <w:p w14:paraId="7A61CC56">
            <w:pPr>
              <w:widowControl/>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平整度</w:t>
            </w:r>
          </w:p>
        </w:tc>
        <w:tc>
          <w:tcPr>
            <w:tcW w:w="602" w:type="dxa"/>
            <w:vAlign w:val="center"/>
          </w:tcPr>
          <w:p w14:paraId="402A226D">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组</w:t>
            </w:r>
          </w:p>
        </w:tc>
        <w:tc>
          <w:tcPr>
            <w:tcW w:w="533" w:type="dxa"/>
            <w:vAlign w:val="center"/>
          </w:tcPr>
          <w:p w14:paraId="0DF9DFFA">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215" w:type="dxa"/>
            <w:vAlign w:val="center"/>
          </w:tcPr>
          <w:p w14:paraId="628C62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183DDC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93B9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524" w:type="dxa"/>
            <w:vAlign w:val="center"/>
          </w:tcPr>
          <w:p w14:paraId="7AC41F92">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1100" w:type="dxa"/>
            <w:vAlign w:val="center"/>
          </w:tcPr>
          <w:p w14:paraId="646A3125">
            <w:pPr>
              <w:widowControl/>
              <w:jc w:val="center"/>
              <w:rPr>
                <w:rFonts w:ascii="宋体" w:hAnsi="宋体" w:eastAsia="宋体" w:cs="宋体"/>
                <w:kern w:val="0"/>
                <w:sz w:val="24"/>
                <w:szCs w:val="24"/>
              </w:rPr>
            </w:pPr>
            <w:r>
              <w:rPr>
                <w:rFonts w:hint="eastAsia" w:ascii="宋体" w:hAnsi="宋体" w:eastAsia="宋体" w:cs="宋体"/>
                <w:kern w:val="0"/>
                <w:sz w:val="24"/>
                <w:szCs w:val="24"/>
              </w:rPr>
              <w:t>现场取样</w:t>
            </w:r>
          </w:p>
        </w:tc>
        <w:tc>
          <w:tcPr>
            <w:tcW w:w="3092" w:type="dxa"/>
            <w:vAlign w:val="center"/>
          </w:tcPr>
          <w:p w14:paraId="11752EFD">
            <w:pPr>
              <w:widowControl/>
              <w:jc w:val="center"/>
              <w:rPr>
                <w:rFonts w:ascii="宋体" w:hAnsi="宋体" w:eastAsia="宋体" w:cs="宋体"/>
                <w:kern w:val="0"/>
                <w:sz w:val="24"/>
                <w:szCs w:val="24"/>
              </w:rPr>
            </w:pPr>
            <w:r>
              <w:rPr>
                <w:rFonts w:hint="eastAsia" w:ascii="宋体" w:hAnsi="宋体" w:eastAsia="宋体" w:cs="宋体"/>
                <w:kern w:val="0"/>
                <w:sz w:val="24"/>
                <w:szCs w:val="24"/>
              </w:rPr>
              <w:t>车辆、人员</w:t>
            </w:r>
          </w:p>
        </w:tc>
        <w:tc>
          <w:tcPr>
            <w:tcW w:w="602" w:type="dxa"/>
            <w:vAlign w:val="center"/>
          </w:tcPr>
          <w:p w14:paraId="618C7B3C">
            <w:pPr>
              <w:widowControl/>
              <w:jc w:val="center"/>
              <w:rPr>
                <w:rFonts w:ascii="宋体" w:hAnsi="宋体" w:eastAsia="宋体"/>
                <w:sz w:val="24"/>
                <w:szCs w:val="24"/>
              </w:rPr>
            </w:pPr>
            <w:r>
              <w:rPr>
                <w:rFonts w:hint="eastAsia" w:ascii="宋体" w:hAnsi="宋体" w:eastAsia="宋体"/>
                <w:kern w:val="0"/>
                <w:sz w:val="24"/>
                <w:szCs w:val="24"/>
              </w:rPr>
              <w:t>次</w:t>
            </w:r>
          </w:p>
        </w:tc>
        <w:tc>
          <w:tcPr>
            <w:tcW w:w="533" w:type="dxa"/>
            <w:vAlign w:val="center"/>
          </w:tcPr>
          <w:p w14:paraId="009234D7">
            <w:pPr>
              <w:keepNext w:val="0"/>
              <w:keepLines w:val="0"/>
              <w:widowControl/>
              <w:suppressLineNumbers w:val="0"/>
              <w:jc w:val="center"/>
              <w:textAlignment w:val="center"/>
              <w:rPr>
                <w:rFonts w:ascii="宋体" w:hAnsi="宋体" w:eastAsia="宋体"/>
                <w:kern w:val="0"/>
                <w:sz w:val="24"/>
                <w:szCs w:val="24"/>
              </w:rPr>
            </w:pPr>
            <w:r>
              <w:rPr>
                <w:rFonts w:hint="eastAsia" w:ascii="宋体" w:hAnsi="宋体" w:eastAsia="宋体" w:cs="宋体"/>
                <w:i w:val="0"/>
                <w:iCs w:val="0"/>
                <w:color w:val="000000"/>
                <w:kern w:val="0"/>
                <w:sz w:val="24"/>
                <w:szCs w:val="24"/>
                <w:u w:val="none"/>
                <w:lang w:val="en-US" w:eastAsia="zh-CN" w:bidi="ar"/>
              </w:rPr>
              <w:t>5</w:t>
            </w:r>
          </w:p>
        </w:tc>
        <w:tc>
          <w:tcPr>
            <w:tcW w:w="1215" w:type="dxa"/>
            <w:vAlign w:val="center"/>
          </w:tcPr>
          <w:p w14:paraId="6F8C19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57" w:type="dxa"/>
            <w:vAlign w:val="center"/>
          </w:tcPr>
          <w:p w14:paraId="37900F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8FEC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 w:hRule="atLeast"/>
          <w:tblHeader/>
        </w:trPr>
        <w:tc>
          <w:tcPr>
            <w:tcW w:w="7066" w:type="dxa"/>
            <w:gridSpan w:val="6"/>
            <w:vAlign w:val="center"/>
          </w:tcPr>
          <w:p w14:paraId="4B5511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合计金额（元）</w:t>
            </w:r>
          </w:p>
        </w:tc>
        <w:tc>
          <w:tcPr>
            <w:tcW w:w="1257" w:type="dxa"/>
            <w:vAlign w:val="center"/>
          </w:tcPr>
          <w:p w14:paraId="3BB776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201FBE2">
      <w:pPr>
        <w:pStyle w:val="26"/>
        <w:spacing w:line="500" w:lineRule="exact"/>
        <w:ind w:left="0" w:firstLine="480" w:firstLineChars="200"/>
        <w:contextualSpacing/>
        <w:jc w:val="both"/>
        <w:rPr>
          <w:rFonts w:hint="eastAsia"/>
          <w:bCs/>
          <w:color w:val="auto"/>
          <w:highlight w:val="none"/>
        </w:rPr>
      </w:pPr>
    </w:p>
    <w:p w14:paraId="53507010">
      <w:pPr>
        <w:pStyle w:val="26"/>
        <w:numPr>
          <w:ilvl w:val="-1"/>
          <w:numId w:val="0"/>
        </w:numPr>
        <w:spacing w:line="500" w:lineRule="exact"/>
        <w:ind w:left="0" w:firstLine="480" w:firstLineChars="200"/>
        <w:contextualSpacing/>
        <w:jc w:val="both"/>
        <w:rPr>
          <w:rFonts w:hint="eastAsia"/>
          <w:bCs/>
          <w:color w:val="auto"/>
          <w:highlight w:val="none"/>
        </w:rPr>
      </w:pPr>
      <w:r>
        <w:rPr>
          <w:rFonts w:hint="eastAsia"/>
          <w:bCs/>
          <w:color w:val="auto"/>
          <w:highlight w:val="none"/>
          <w:lang w:val="en-US" w:eastAsia="zh-CN"/>
        </w:rPr>
        <w:t>2.</w:t>
      </w:r>
      <w:r>
        <w:rPr>
          <w:rFonts w:hint="eastAsia"/>
          <w:bCs/>
          <w:color w:val="auto"/>
          <w:highlight w:val="none"/>
        </w:rPr>
        <w:t>资格审查资料</w:t>
      </w:r>
    </w:p>
    <w:p w14:paraId="53D3F2B4">
      <w:pPr>
        <w:pStyle w:val="26"/>
        <w:numPr>
          <w:ilvl w:val="0"/>
          <w:numId w:val="3"/>
        </w:numPr>
        <w:spacing w:line="500" w:lineRule="exact"/>
        <w:ind w:left="0" w:firstLine="420"/>
        <w:contextualSpacing/>
        <w:jc w:val="both"/>
        <w:rPr>
          <w:rFonts w:hint="eastAsia"/>
          <w:bCs/>
          <w:color w:val="auto"/>
          <w:highlight w:val="none"/>
        </w:rPr>
      </w:pPr>
      <w:r>
        <w:rPr>
          <w:rFonts w:hint="eastAsia"/>
          <w:bCs/>
          <w:color w:val="auto"/>
          <w:highlight w:val="none"/>
        </w:rPr>
        <w:t>具有营业执照副本或事业单位法人证书或民办非企业单位登记证书或社会团体法人登记证书或基金会法人登记证书</w:t>
      </w:r>
      <w:r>
        <w:rPr>
          <w:rFonts w:hint="eastAsia"/>
          <w:bCs/>
          <w:color w:val="auto"/>
          <w:highlight w:val="none"/>
          <w:lang w:val="en-US" w:eastAsia="zh-CN"/>
        </w:rPr>
        <w:t>，</w:t>
      </w:r>
      <w:r>
        <w:rPr>
          <w:rFonts w:hint="eastAsia"/>
          <w:color w:val="auto"/>
          <w:highlight w:val="none"/>
        </w:rPr>
        <w:t>在有效期内</w:t>
      </w:r>
      <w:r>
        <w:rPr>
          <w:rFonts w:hint="eastAsia"/>
          <w:bCs/>
          <w:color w:val="auto"/>
          <w:highlight w:val="none"/>
        </w:rPr>
        <w:t>；</w:t>
      </w:r>
    </w:p>
    <w:p w14:paraId="36791A40">
      <w:pPr>
        <w:pStyle w:val="26"/>
        <w:numPr>
          <w:ilvl w:val="0"/>
          <w:numId w:val="3"/>
        </w:numPr>
        <w:spacing w:line="500" w:lineRule="exact"/>
        <w:ind w:left="0" w:firstLine="420"/>
        <w:contextualSpacing/>
        <w:jc w:val="both"/>
        <w:rPr>
          <w:rFonts w:hint="eastAsia"/>
          <w:color w:val="auto"/>
          <w:highlight w:val="none"/>
        </w:rPr>
      </w:pPr>
      <w:r>
        <w:rPr>
          <w:rFonts w:hint="eastAsia"/>
          <w:color w:val="auto"/>
          <w:highlight w:val="none"/>
        </w:rPr>
        <w:t>具有水利工程质量检测单位甲级资质,且在有效期内；</w:t>
      </w:r>
    </w:p>
    <w:p w14:paraId="66F276A9">
      <w:pPr>
        <w:pStyle w:val="26"/>
        <w:numPr>
          <w:ilvl w:val="0"/>
          <w:numId w:val="3"/>
        </w:numPr>
        <w:spacing w:line="500" w:lineRule="exact"/>
        <w:ind w:left="0" w:firstLine="420"/>
        <w:contextualSpacing/>
        <w:jc w:val="both"/>
        <w:rPr>
          <w:rFonts w:hint="eastAsia"/>
          <w:bCs/>
          <w:color w:val="auto"/>
          <w:highlight w:val="none"/>
        </w:rPr>
      </w:pPr>
      <w:r>
        <w:rPr>
          <w:rFonts w:hint="eastAsia"/>
          <w:color w:val="auto"/>
          <w:highlight w:val="none"/>
        </w:rPr>
        <w:t>拟投入本项目工作的质量检测人员须具有《水利工程质量检测员资格证书》,其注明的专业类别,能够包括拟承担的质量检测业务；</w:t>
      </w:r>
    </w:p>
    <w:p w14:paraId="0C86740D">
      <w:pPr>
        <w:pStyle w:val="26"/>
        <w:numPr>
          <w:ilvl w:val="0"/>
          <w:numId w:val="3"/>
        </w:numPr>
        <w:spacing w:line="500" w:lineRule="exact"/>
        <w:ind w:left="0" w:firstLine="420"/>
        <w:contextualSpacing/>
        <w:jc w:val="both"/>
        <w:rPr>
          <w:rFonts w:hint="eastAsia"/>
          <w:bCs/>
          <w:color w:val="auto"/>
          <w:highlight w:val="none"/>
        </w:rPr>
      </w:pPr>
      <w:r>
        <w:rPr>
          <w:rFonts w:hint="eastAsia"/>
          <w:bCs/>
          <w:color w:val="auto"/>
          <w:highlight w:val="none"/>
        </w:rPr>
        <w:t>在“信用中国”网站(https://www.creditchina.gov.cn/)查询严重失信主体名单，未被列入名单并将查询结果截图加盖单位公章；</w:t>
      </w:r>
    </w:p>
    <w:p w14:paraId="6394545D">
      <w:pPr>
        <w:pStyle w:val="26"/>
        <w:numPr>
          <w:ilvl w:val="0"/>
          <w:numId w:val="3"/>
        </w:numPr>
        <w:spacing w:line="500" w:lineRule="exact"/>
        <w:ind w:left="0" w:firstLine="420"/>
        <w:contextualSpacing/>
        <w:jc w:val="both"/>
        <w:rPr>
          <w:rFonts w:hint="eastAsia"/>
          <w:bCs/>
          <w:color w:val="auto"/>
          <w:highlight w:val="none"/>
        </w:rPr>
      </w:pPr>
      <w:r>
        <w:rPr>
          <w:rFonts w:hint="eastAsia"/>
          <w:bCs/>
          <w:color w:val="auto"/>
          <w:highlight w:val="none"/>
          <w:lang w:val="en-US" w:eastAsia="zh-CN"/>
        </w:rPr>
        <w:t>投标人</w:t>
      </w:r>
      <w:r>
        <w:rPr>
          <w:rFonts w:hint="eastAsia"/>
          <w:bCs/>
          <w:color w:val="auto"/>
          <w:highlight w:val="none"/>
        </w:rPr>
        <w:t>授权委托书；</w:t>
      </w:r>
    </w:p>
    <w:p w14:paraId="274EF1CF">
      <w:pPr>
        <w:pStyle w:val="26"/>
        <w:numPr>
          <w:ilvl w:val="0"/>
          <w:numId w:val="3"/>
        </w:numPr>
        <w:spacing w:line="500" w:lineRule="exact"/>
        <w:ind w:left="0" w:firstLine="420"/>
        <w:contextualSpacing/>
        <w:jc w:val="both"/>
        <w:rPr>
          <w:rFonts w:hint="eastAsia"/>
          <w:bCs/>
          <w:color w:val="auto"/>
          <w:highlight w:val="none"/>
        </w:rPr>
      </w:pPr>
      <w:r>
        <w:rPr>
          <w:rFonts w:hint="eastAsia"/>
          <w:color w:val="auto"/>
          <w:highlight w:val="none"/>
        </w:rPr>
        <w:t>非联合体投标承诺书。</w:t>
      </w:r>
    </w:p>
    <w:p w14:paraId="51AAAC38">
      <w:pPr>
        <w:pStyle w:val="26"/>
        <w:numPr>
          <w:ilvl w:val="-1"/>
          <w:numId w:val="0"/>
        </w:numPr>
        <w:spacing w:line="500" w:lineRule="exact"/>
        <w:ind w:left="0" w:leftChars="0" w:firstLine="480" w:firstLineChars="200"/>
        <w:contextualSpacing/>
        <w:jc w:val="both"/>
        <w:rPr>
          <w:rFonts w:hint="eastAsia"/>
          <w:bCs/>
          <w:color w:val="auto"/>
          <w:highlight w:val="none"/>
        </w:rPr>
      </w:pPr>
      <w:r>
        <w:rPr>
          <w:rFonts w:hint="eastAsia"/>
          <w:bCs/>
          <w:color w:val="auto"/>
          <w:highlight w:val="none"/>
          <w:lang w:val="en-US" w:eastAsia="zh-CN"/>
        </w:rPr>
        <w:t>八、</w:t>
      </w:r>
      <w:r>
        <w:rPr>
          <w:rFonts w:hint="eastAsia"/>
          <w:bCs/>
          <w:color w:val="auto"/>
          <w:highlight w:val="none"/>
        </w:rPr>
        <w:t>报价要求</w:t>
      </w:r>
    </w:p>
    <w:p w14:paraId="6EF5BDED">
      <w:pPr>
        <w:pStyle w:val="26"/>
        <w:numPr>
          <w:ilvl w:val="-1"/>
          <w:numId w:val="0"/>
        </w:numPr>
        <w:spacing w:line="500" w:lineRule="exact"/>
        <w:ind w:left="0" w:firstLine="480" w:firstLineChars="200"/>
        <w:contextualSpacing/>
        <w:jc w:val="both"/>
        <w:rPr>
          <w:rFonts w:hint="eastAsia"/>
          <w:bCs/>
          <w:color w:val="auto"/>
          <w:highlight w:val="none"/>
        </w:rPr>
      </w:pPr>
      <w:r>
        <w:rPr>
          <w:rFonts w:hint="eastAsia"/>
          <w:bCs/>
          <w:color w:val="auto"/>
          <w:highlight w:val="none"/>
          <w:lang w:val="en-US" w:eastAsia="zh-CN"/>
        </w:rPr>
        <w:t>1.</w:t>
      </w:r>
      <w:r>
        <w:rPr>
          <w:rFonts w:hint="eastAsia"/>
          <w:bCs/>
          <w:color w:val="auto"/>
          <w:highlight w:val="none"/>
        </w:rPr>
        <w:t>参与报价供应商请登录“津水云采”平台http://www.jinshuiyuncai.com。此次报价为线上报价，报价文件均需加盖公章，按照报价文件内容要求上传报价；一次性报出最具竞争力的价格，提供分项报价并合计总价，所报价格为到货含税价。所报价格应包括</w:t>
      </w:r>
      <w:r>
        <w:rPr>
          <w:rFonts w:hint="eastAsia"/>
          <w:bCs/>
          <w:color w:val="auto"/>
          <w:highlight w:val="none"/>
          <w:lang w:val="en-US" w:eastAsia="zh-CN"/>
        </w:rPr>
        <w:t>本项目</w:t>
      </w:r>
      <w:r>
        <w:rPr>
          <w:rFonts w:hint="eastAsia"/>
          <w:bCs/>
          <w:color w:val="auto"/>
          <w:highlight w:val="none"/>
        </w:rPr>
        <w:t>全部费用。</w:t>
      </w:r>
    </w:p>
    <w:p w14:paraId="55302EAB">
      <w:pPr>
        <w:pStyle w:val="26"/>
        <w:numPr>
          <w:ilvl w:val="-1"/>
          <w:numId w:val="0"/>
        </w:numPr>
        <w:spacing w:line="500" w:lineRule="exact"/>
        <w:ind w:left="0" w:firstLine="480" w:firstLineChars="200"/>
        <w:contextualSpacing/>
        <w:jc w:val="both"/>
        <w:rPr>
          <w:rFonts w:hint="eastAsia"/>
          <w:bCs/>
          <w:color w:val="auto"/>
          <w:highlight w:val="none"/>
        </w:rPr>
      </w:pPr>
      <w:r>
        <w:rPr>
          <w:rFonts w:hint="eastAsia"/>
          <w:bCs/>
          <w:color w:val="auto"/>
          <w:highlight w:val="none"/>
          <w:lang w:val="en-US" w:eastAsia="zh-CN"/>
        </w:rPr>
        <w:t>2.</w:t>
      </w:r>
      <w:r>
        <w:rPr>
          <w:rFonts w:hint="eastAsia"/>
          <w:bCs/>
          <w:color w:val="auto"/>
          <w:highlight w:val="none"/>
        </w:rPr>
        <w:t>按照报价格式要求将报价文件扫描成PDF的形式，上传报价文件扫描件（盖章）。</w:t>
      </w:r>
    </w:p>
    <w:p w14:paraId="763735D4">
      <w:pPr>
        <w:pStyle w:val="26"/>
        <w:numPr>
          <w:ilvl w:val="-1"/>
          <w:numId w:val="0"/>
        </w:numPr>
        <w:spacing w:line="500" w:lineRule="exact"/>
        <w:ind w:left="0" w:firstLine="480" w:firstLineChars="200"/>
        <w:contextualSpacing/>
        <w:jc w:val="both"/>
        <w:rPr>
          <w:rFonts w:hint="eastAsia"/>
          <w:bCs/>
          <w:color w:val="auto"/>
          <w:highlight w:val="none"/>
        </w:rPr>
      </w:pPr>
      <w:r>
        <w:rPr>
          <w:rFonts w:hint="eastAsia"/>
          <w:bCs/>
          <w:color w:val="auto"/>
          <w:highlight w:val="none"/>
          <w:lang w:val="en-US" w:eastAsia="zh-CN"/>
        </w:rPr>
        <w:t>3.</w:t>
      </w:r>
      <w:r>
        <w:rPr>
          <w:rFonts w:hint="eastAsia"/>
          <w:bCs/>
          <w:color w:val="auto"/>
          <w:highlight w:val="none"/>
        </w:rPr>
        <w:t>报价文件需编制目录并标注页码，报价文件内容超过50页的，需提供纸质版报价文件1套，纸质报价文件需与系统报价文件内容保持一致，纸质报价文件应密封包装，并在封套的封口处由投标人的法定代表人或其授权的代理人签字，纸质报价文件需在报价截至时间前递交至天津水务集团有限公司（河西区天津公馆七楼）。采购人视报价人在其报价文件中递交的内容为最终内容，报价截止时间之后报价人不得修改报价文件内容，否则报价无效。</w:t>
      </w:r>
    </w:p>
    <w:p w14:paraId="5BCD575B">
      <w:pPr>
        <w:pStyle w:val="26"/>
        <w:numPr>
          <w:ilvl w:val="-1"/>
          <w:numId w:val="0"/>
        </w:numPr>
        <w:spacing w:line="500" w:lineRule="exact"/>
        <w:ind w:left="0" w:firstLine="480" w:firstLineChars="200"/>
        <w:contextualSpacing/>
        <w:jc w:val="both"/>
        <w:rPr>
          <w:rFonts w:hint="eastAsia"/>
          <w:bCs/>
          <w:color w:val="auto"/>
          <w:highlight w:val="none"/>
        </w:rPr>
      </w:pPr>
      <w:r>
        <w:rPr>
          <w:rFonts w:hint="eastAsia"/>
          <w:bCs/>
          <w:color w:val="auto"/>
          <w:highlight w:val="none"/>
          <w:lang w:val="en-US" w:eastAsia="zh-CN"/>
        </w:rPr>
        <w:t>4.</w:t>
      </w:r>
      <w:r>
        <w:rPr>
          <w:rFonts w:hint="eastAsia"/>
          <w:bCs/>
          <w:color w:val="auto"/>
          <w:highlight w:val="none"/>
        </w:rPr>
        <w:t>报价文件应严格按照询价公告及询价文件要求提报资料,资料不齐或未上传电子版文件视为无效报价将被否决。</w:t>
      </w:r>
    </w:p>
    <w:p w14:paraId="7DDAE603">
      <w:pPr>
        <w:pStyle w:val="26"/>
        <w:numPr>
          <w:ilvl w:val="-1"/>
          <w:numId w:val="0"/>
        </w:numPr>
        <w:spacing w:line="500" w:lineRule="exact"/>
        <w:ind w:left="0" w:firstLine="480" w:firstLineChars="200"/>
        <w:contextualSpacing/>
        <w:jc w:val="both"/>
        <w:rPr>
          <w:rFonts w:hint="default" w:eastAsia="宋体"/>
          <w:bCs/>
          <w:color w:val="auto"/>
          <w:highlight w:val="none"/>
          <w:lang w:val="en-US" w:eastAsia="zh-CN"/>
        </w:rPr>
      </w:pPr>
      <w:r>
        <w:rPr>
          <w:rFonts w:hint="eastAsia"/>
          <w:bCs/>
          <w:color w:val="auto"/>
          <w:highlight w:val="none"/>
          <w:lang w:val="en-US" w:eastAsia="zh-CN"/>
        </w:rPr>
        <w:t>5.</w:t>
      </w:r>
      <w:r>
        <w:rPr>
          <w:rFonts w:hint="eastAsia"/>
          <w:bCs/>
          <w:color w:val="auto"/>
          <w:highlight w:val="none"/>
        </w:rPr>
        <w:t>采购人可参考其他供应商报价、历史采购价和近期市场价格等。对于异常低价可能导致影响履约的报价，可要求报价人进行澄清，不能说明其报价合理或保证履约的，采购人有权否决该报价。</w:t>
      </w:r>
    </w:p>
    <w:p w14:paraId="113FAA0D">
      <w:pPr>
        <w:pStyle w:val="26"/>
        <w:spacing w:line="500" w:lineRule="exact"/>
        <w:ind w:firstLine="316" w:firstLineChars="175"/>
        <w:contextualSpacing/>
        <w:jc w:val="both"/>
        <w:rPr>
          <w:rFonts w:hint="eastAsia"/>
          <w:b/>
          <w:color w:val="auto"/>
          <w:sz w:val="18"/>
          <w:szCs w:val="18"/>
          <w:highlight w:val="none"/>
        </w:rPr>
      </w:pPr>
      <w:r>
        <w:rPr>
          <w:rFonts w:hint="eastAsia"/>
          <w:b/>
          <w:color w:val="auto"/>
          <w:sz w:val="18"/>
          <w:szCs w:val="18"/>
          <w:highlight w:val="none"/>
        </w:rPr>
        <w:t>注：请报价人认真阅读询价文件要求，任意一项的不响应将导致投标被否决。如有格式要求的，请按照格式提供，如未提供格式的，请报价人自拟，包含但不限于格式中内容。</w:t>
      </w:r>
    </w:p>
    <w:p w14:paraId="6330590C">
      <w:pPr>
        <w:pStyle w:val="26"/>
        <w:numPr>
          <w:ilvl w:val="-1"/>
          <w:numId w:val="0"/>
        </w:numPr>
        <w:spacing w:line="500" w:lineRule="exact"/>
        <w:ind w:left="0" w:leftChars="0" w:firstLine="480" w:firstLineChars="200"/>
        <w:contextualSpacing/>
        <w:jc w:val="both"/>
        <w:rPr>
          <w:rFonts w:hint="eastAsia"/>
          <w:color w:val="auto"/>
          <w:highlight w:val="none"/>
        </w:rPr>
      </w:pPr>
      <w:r>
        <w:rPr>
          <w:rFonts w:hint="eastAsia"/>
          <w:color w:val="auto"/>
          <w:highlight w:val="none"/>
          <w:lang w:val="en-US" w:eastAsia="zh-CN"/>
        </w:rPr>
        <w:t>九、</w:t>
      </w:r>
      <w:r>
        <w:rPr>
          <w:rFonts w:hint="eastAsia"/>
          <w:color w:val="auto"/>
          <w:highlight w:val="none"/>
        </w:rPr>
        <w:t>报价文件的提交</w:t>
      </w:r>
    </w:p>
    <w:p w14:paraId="48AD29DB">
      <w:pPr>
        <w:pStyle w:val="26"/>
        <w:numPr>
          <w:ilvl w:val="-1"/>
          <w:numId w:val="0"/>
        </w:numPr>
        <w:spacing w:line="500" w:lineRule="exact"/>
        <w:ind w:left="0" w:leftChars="0" w:firstLine="480" w:firstLineChars="200"/>
        <w:contextualSpacing/>
        <w:jc w:val="both"/>
        <w:rPr>
          <w:rFonts w:hint="eastAsia"/>
          <w:color w:val="auto"/>
          <w:highlight w:val="none"/>
        </w:rPr>
      </w:pPr>
      <w:r>
        <w:rPr>
          <w:rFonts w:hint="eastAsia"/>
          <w:color w:val="auto"/>
          <w:highlight w:val="none"/>
          <w:lang w:val="en-US" w:eastAsia="zh-CN"/>
        </w:rPr>
        <w:t>1.</w:t>
      </w:r>
      <w:r>
        <w:rPr>
          <w:rFonts w:hint="eastAsia"/>
          <w:color w:val="auto"/>
          <w:highlight w:val="none"/>
        </w:rPr>
        <w:t>报价文件提交的截止时间：2026年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10</w:t>
      </w:r>
      <w:r>
        <w:rPr>
          <w:rFonts w:hint="eastAsia"/>
          <w:color w:val="auto"/>
          <w:highlight w:val="none"/>
        </w:rPr>
        <w:t>日17:00。</w:t>
      </w:r>
    </w:p>
    <w:p w14:paraId="5DDD8C10">
      <w:pPr>
        <w:pStyle w:val="26"/>
        <w:numPr>
          <w:ilvl w:val="-1"/>
          <w:numId w:val="0"/>
        </w:numPr>
        <w:spacing w:line="500" w:lineRule="exact"/>
        <w:ind w:left="0" w:leftChars="0" w:firstLine="480" w:firstLineChars="200"/>
        <w:contextualSpacing/>
        <w:jc w:val="both"/>
        <w:rPr>
          <w:rFonts w:hint="eastAsia"/>
          <w:color w:val="auto"/>
          <w:highlight w:val="none"/>
        </w:rPr>
      </w:pPr>
      <w:r>
        <w:rPr>
          <w:rFonts w:hint="eastAsia"/>
          <w:color w:val="auto"/>
          <w:highlight w:val="none"/>
          <w:lang w:val="en-US" w:eastAsia="zh-CN"/>
        </w:rPr>
        <w:t>2.</w:t>
      </w:r>
      <w:r>
        <w:rPr>
          <w:rFonts w:hint="eastAsia"/>
          <w:color w:val="auto"/>
          <w:highlight w:val="none"/>
        </w:rPr>
        <w:t>报价文件递交方式：报价文件加盖公章并上传“津水云采”平台。</w:t>
      </w:r>
    </w:p>
    <w:p w14:paraId="59CBAB2B">
      <w:pPr>
        <w:pStyle w:val="26"/>
        <w:numPr>
          <w:ilvl w:val="-1"/>
          <w:numId w:val="0"/>
        </w:numPr>
        <w:spacing w:before="0" w:beforeAutospacing="0" w:after="0" w:afterAutospacing="0" w:line="500" w:lineRule="exact"/>
        <w:ind w:left="0" w:leftChars="0" w:firstLine="480" w:firstLineChars="200"/>
        <w:contextualSpacing/>
        <w:jc w:val="both"/>
        <w:rPr>
          <w:rFonts w:hint="eastAsia"/>
          <w:color w:val="auto"/>
          <w:highlight w:val="none"/>
        </w:rPr>
      </w:pPr>
      <w:r>
        <w:rPr>
          <w:rFonts w:hint="eastAsia"/>
          <w:color w:val="auto"/>
          <w:highlight w:val="none"/>
          <w:lang w:val="en-US" w:eastAsia="zh-CN"/>
        </w:rPr>
        <w:t>3.</w:t>
      </w:r>
      <w:r>
        <w:rPr>
          <w:rFonts w:hint="eastAsia"/>
          <w:color w:val="auto"/>
          <w:highlight w:val="none"/>
        </w:rPr>
        <w:t>开标地点：线上开标，不举行现场开标仪式。</w:t>
      </w:r>
    </w:p>
    <w:p w14:paraId="406DB6BB">
      <w:pPr>
        <w:pStyle w:val="26"/>
        <w:numPr>
          <w:ilvl w:val="255"/>
          <w:numId w:val="0"/>
        </w:numPr>
        <w:spacing w:before="0" w:beforeAutospacing="0" w:after="0" w:afterAutospacing="0" w:line="500" w:lineRule="exact"/>
        <w:ind w:left="368" w:leftChars="175"/>
        <w:contextualSpacing/>
        <w:jc w:val="both"/>
        <w:rPr>
          <w:rFonts w:hint="eastAsia"/>
          <w:color w:val="auto"/>
          <w:highlight w:val="none"/>
        </w:rPr>
      </w:pPr>
    </w:p>
    <w:p w14:paraId="7AD1A79B">
      <w:pPr>
        <w:pStyle w:val="26"/>
        <w:numPr>
          <w:ilvl w:val="255"/>
          <w:numId w:val="0"/>
        </w:numPr>
        <w:spacing w:before="0" w:beforeAutospacing="0" w:after="0" w:afterAutospacing="0" w:line="500" w:lineRule="exact"/>
        <w:ind w:left="368" w:leftChars="175"/>
        <w:contextualSpacing/>
        <w:jc w:val="both"/>
        <w:rPr>
          <w:rFonts w:hint="eastAsia"/>
          <w:color w:val="auto"/>
          <w:highlight w:val="none"/>
        </w:rPr>
      </w:pPr>
    </w:p>
    <w:p w14:paraId="73A1F026">
      <w:pPr>
        <w:pStyle w:val="26"/>
        <w:numPr>
          <w:ilvl w:val="255"/>
          <w:numId w:val="0"/>
        </w:numPr>
        <w:spacing w:before="0" w:beforeAutospacing="0" w:after="0" w:afterAutospacing="0" w:line="500" w:lineRule="exact"/>
        <w:ind w:left="368" w:leftChars="175"/>
        <w:contextualSpacing/>
        <w:jc w:val="both"/>
        <w:rPr>
          <w:rFonts w:hint="eastAsia"/>
          <w:color w:val="auto"/>
          <w:highlight w:val="none"/>
        </w:rPr>
      </w:pPr>
    </w:p>
    <w:p w14:paraId="6E610B28">
      <w:pPr>
        <w:snapToGrid w:val="0"/>
        <w:spacing w:line="360" w:lineRule="auto"/>
        <w:jc w:val="left"/>
        <w:rPr>
          <w:rFonts w:hint="eastAsia" w:eastAsia="黑体"/>
          <w:b/>
          <w:bCs/>
          <w:color w:val="auto"/>
          <w:sz w:val="30"/>
          <w:szCs w:val="30"/>
          <w:highlight w:val="none"/>
        </w:rPr>
      </w:pPr>
    </w:p>
    <w:p w14:paraId="444F9CA9">
      <w:pPr>
        <w:snapToGrid w:val="0"/>
        <w:spacing w:line="360" w:lineRule="auto"/>
        <w:jc w:val="left"/>
        <w:rPr>
          <w:rFonts w:hint="eastAsia" w:eastAsia="黑体"/>
          <w:b/>
          <w:bCs/>
          <w:color w:val="auto"/>
          <w:sz w:val="30"/>
          <w:szCs w:val="30"/>
          <w:highlight w:val="none"/>
        </w:rPr>
      </w:pPr>
    </w:p>
    <w:p w14:paraId="13BCD6E1">
      <w:pPr>
        <w:snapToGrid w:val="0"/>
        <w:spacing w:line="360" w:lineRule="auto"/>
        <w:jc w:val="left"/>
        <w:rPr>
          <w:rFonts w:hint="eastAsia" w:eastAsia="黑体"/>
          <w:b/>
          <w:bCs/>
          <w:color w:val="auto"/>
          <w:sz w:val="30"/>
          <w:szCs w:val="30"/>
          <w:highlight w:val="none"/>
        </w:rPr>
      </w:pPr>
    </w:p>
    <w:p w14:paraId="0D297983">
      <w:pPr>
        <w:snapToGrid w:val="0"/>
        <w:spacing w:line="360" w:lineRule="auto"/>
        <w:jc w:val="left"/>
        <w:rPr>
          <w:rFonts w:hint="eastAsia" w:eastAsia="黑体"/>
          <w:b/>
          <w:bCs/>
          <w:color w:val="auto"/>
          <w:sz w:val="30"/>
          <w:szCs w:val="30"/>
          <w:highlight w:val="none"/>
        </w:rPr>
      </w:pPr>
    </w:p>
    <w:p w14:paraId="6CAEB971">
      <w:pPr>
        <w:snapToGrid w:val="0"/>
        <w:spacing w:line="360" w:lineRule="auto"/>
        <w:jc w:val="left"/>
        <w:rPr>
          <w:rFonts w:hint="eastAsia" w:eastAsia="黑体"/>
          <w:b/>
          <w:bCs/>
          <w:color w:val="auto"/>
          <w:sz w:val="30"/>
          <w:szCs w:val="30"/>
          <w:highlight w:val="none"/>
        </w:rPr>
      </w:pPr>
    </w:p>
    <w:p w14:paraId="4DC21D99">
      <w:pPr>
        <w:snapToGrid w:val="0"/>
        <w:spacing w:line="360" w:lineRule="auto"/>
        <w:jc w:val="left"/>
        <w:rPr>
          <w:rFonts w:hint="eastAsia" w:eastAsia="黑体"/>
          <w:b/>
          <w:bCs/>
          <w:color w:val="auto"/>
          <w:sz w:val="30"/>
          <w:szCs w:val="30"/>
          <w:highlight w:val="none"/>
        </w:rPr>
      </w:pPr>
    </w:p>
    <w:p w14:paraId="39AA9E91">
      <w:pPr>
        <w:snapToGrid w:val="0"/>
        <w:spacing w:line="360" w:lineRule="auto"/>
        <w:jc w:val="left"/>
        <w:rPr>
          <w:rFonts w:hint="eastAsia" w:eastAsia="黑体"/>
          <w:b/>
          <w:bCs/>
          <w:color w:val="auto"/>
          <w:sz w:val="30"/>
          <w:szCs w:val="30"/>
          <w:highlight w:val="none"/>
        </w:rPr>
      </w:pPr>
    </w:p>
    <w:p w14:paraId="048A385C">
      <w:pPr>
        <w:snapToGrid w:val="0"/>
        <w:spacing w:line="360" w:lineRule="auto"/>
        <w:jc w:val="left"/>
        <w:rPr>
          <w:rFonts w:hint="eastAsia" w:eastAsia="黑体"/>
          <w:b/>
          <w:bCs/>
          <w:color w:val="auto"/>
          <w:sz w:val="30"/>
          <w:szCs w:val="30"/>
          <w:highlight w:val="none"/>
        </w:rPr>
      </w:pPr>
    </w:p>
    <w:p w14:paraId="08BE8F12">
      <w:pPr>
        <w:snapToGrid w:val="0"/>
        <w:spacing w:line="360" w:lineRule="auto"/>
        <w:jc w:val="left"/>
        <w:rPr>
          <w:rFonts w:hint="eastAsia" w:eastAsia="黑体"/>
          <w:b/>
          <w:bCs/>
          <w:color w:val="auto"/>
          <w:sz w:val="30"/>
          <w:szCs w:val="30"/>
          <w:highlight w:val="none"/>
        </w:rPr>
      </w:pPr>
    </w:p>
    <w:p w14:paraId="7B55EC04">
      <w:pPr>
        <w:snapToGrid w:val="0"/>
        <w:spacing w:line="360" w:lineRule="auto"/>
        <w:jc w:val="left"/>
        <w:rPr>
          <w:rFonts w:hint="eastAsia" w:eastAsia="黑体"/>
          <w:b/>
          <w:bCs/>
          <w:color w:val="auto"/>
          <w:sz w:val="30"/>
          <w:szCs w:val="30"/>
          <w:highlight w:val="none"/>
        </w:rPr>
      </w:pPr>
    </w:p>
    <w:p w14:paraId="6301AD95">
      <w:pPr>
        <w:snapToGrid w:val="0"/>
        <w:spacing w:line="360" w:lineRule="auto"/>
        <w:jc w:val="left"/>
        <w:rPr>
          <w:rFonts w:hint="eastAsia" w:eastAsia="黑体"/>
          <w:b/>
          <w:bCs/>
          <w:color w:val="auto"/>
          <w:sz w:val="30"/>
          <w:szCs w:val="30"/>
          <w:highlight w:val="none"/>
        </w:rPr>
      </w:pPr>
    </w:p>
    <w:p w14:paraId="116E150A">
      <w:pPr>
        <w:snapToGrid w:val="0"/>
        <w:spacing w:line="360" w:lineRule="auto"/>
        <w:jc w:val="left"/>
        <w:rPr>
          <w:rFonts w:hint="eastAsia" w:eastAsia="黑体"/>
          <w:b/>
          <w:bCs/>
          <w:color w:val="auto"/>
          <w:sz w:val="30"/>
          <w:szCs w:val="30"/>
          <w:highlight w:val="none"/>
        </w:rPr>
      </w:pPr>
    </w:p>
    <w:p w14:paraId="44A464CD">
      <w:pPr>
        <w:snapToGrid w:val="0"/>
        <w:spacing w:line="360" w:lineRule="auto"/>
        <w:jc w:val="left"/>
        <w:rPr>
          <w:rFonts w:hint="eastAsia" w:eastAsia="黑体"/>
          <w:b/>
          <w:bCs/>
          <w:color w:val="auto"/>
          <w:sz w:val="30"/>
          <w:szCs w:val="30"/>
          <w:highlight w:val="none"/>
        </w:rPr>
      </w:pPr>
    </w:p>
    <w:p w14:paraId="7C32E13C">
      <w:pPr>
        <w:snapToGrid w:val="0"/>
        <w:spacing w:line="360" w:lineRule="auto"/>
        <w:jc w:val="left"/>
        <w:rPr>
          <w:rFonts w:hint="eastAsia" w:eastAsia="黑体"/>
          <w:b/>
          <w:bCs/>
          <w:color w:val="auto"/>
          <w:sz w:val="30"/>
          <w:szCs w:val="30"/>
          <w:highlight w:val="none"/>
        </w:rPr>
      </w:pPr>
    </w:p>
    <w:p w14:paraId="28FDD3AC">
      <w:pPr>
        <w:snapToGrid w:val="0"/>
        <w:spacing w:line="360" w:lineRule="auto"/>
        <w:jc w:val="left"/>
        <w:rPr>
          <w:rFonts w:hint="eastAsia" w:eastAsia="黑体"/>
          <w:b/>
          <w:bCs/>
          <w:color w:val="auto"/>
          <w:sz w:val="30"/>
          <w:szCs w:val="30"/>
          <w:highlight w:val="none"/>
        </w:rPr>
      </w:pPr>
    </w:p>
    <w:p w14:paraId="53C32ED9">
      <w:pPr>
        <w:snapToGrid w:val="0"/>
        <w:spacing w:line="360" w:lineRule="auto"/>
        <w:jc w:val="left"/>
        <w:rPr>
          <w:rFonts w:hint="eastAsia" w:eastAsia="黑体"/>
          <w:b/>
          <w:bCs/>
          <w:color w:val="auto"/>
          <w:sz w:val="30"/>
          <w:szCs w:val="30"/>
          <w:highlight w:val="none"/>
        </w:rPr>
      </w:pPr>
    </w:p>
    <w:p w14:paraId="23EC785C">
      <w:pPr>
        <w:snapToGrid w:val="0"/>
        <w:spacing w:line="360" w:lineRule="auto"/>
        <w:jc w:val="left"/>
        <w:rPr>
          <w:rFonts w:hint="eastAsia" w:eastAsia="黑体"/>
          <w:b/>
          <w:bCs/>
          <w:color w:val="auto"/>
          <w:sz w:val="30"/>
          <w:szCs w:val="30"/>
          <w:highlight w:val="none"/>
        </w:rPr>
      </w:pPr>
    </w:p>
    <w:p w14:paraId="6FEF84CD">
      <w:pPr>
        <w:snapToGrid w:val="0"/>
        <w:spacing w:line="360" w:lineRule="auto"/>
        <w:jc w:val="left"/>
        <w:rPr>
          <w:rFonts w:hint="eastAsia" w:eastAsia="黑体"/>
          <w:b/>
          <w:bCs/>
          <w:color w:val="auto"/>
          <w:sz w:val="30"/>
          <w:szCs w:val="30"/>
          <w:highlight w:val="none"/>
        </w:rPr>
      </w:pPr>
    </w:p>
    <w:p w14:paraId="02F45DAF">
      <w:pPr>
        <w:snapToGrid w:val="0"/>
        <w:spacing w:line="360" w:lineRule="auto"/>
        <w:jc w:val="left"/>
        <w:rPr>
          <w:rFonts w:hint="eastAsia" w:eastAsia="黑体"/>
          <w:b/>
          <w:bCs/>
          <w:color w:val="auto"/>
          <w:sz w:val="30"/>
          <w:szCs w:val="30"/>
          <w:highlight w:val="none"/>
        </w:rPr>
      </w:pPr>
    </w:p>
    <w:p w14:paraId="557BBF48">
      <w:pPr>
        <w:snapToGrid w:val="0"/>
        <w:spacing w:line="360" w:lineRule="auto"/>
        <w:jc w:val="left"/>
        <w:rPr>
          <w:rFonts w:hint="eastAsia" w:eastAsia="黑体"/>
          <w:b/>
          <w:bCs/>
          <w:color w:val="auto"/>
          <w:sz w:val="30"/>
          <w:szCs w:val="30"/>
          <w:highlight w:val="none"/>
        </w:rPr>
      </w:pPr>
      <w:r>
        <w:rPr>
          <w:rFonts w:hint="eastAsia" w:eastAsia="黑体"/>
          <w:b/>
          <w:bCs/>
          <w:color w:val="auto"/>
          <w:sz w:val="30"/>
          <w:szCs w:val="30"/>
          <w:highlight w:val="none"/>
        </w:rPr>
        <w:t>附件1：</w:t>
      </w:r>
    </w:p>
    <w:p w14:paraId="1E175819">
      <w:pPr>
        <w:snapToGrid w:val="0"/>
        <w:spacing w:line="360" w:lineRule="auto"/>
        <w:jc w:val="center"/>
        <w:rPr>
          <w:rFonts w:hint="eastAsia" w:eastAsia="黑体"/>
          <w:b/>
          <w:bCs/>
          <w:color w:val="auto"/>
          <w:sz w:val="30"/>
          <w:szCs w:val="30"/>
          <w:highlight w:val="none"/>
        </w:rPr>
      </w:pPr>
      <w:r>
        <w:rPr>
          <w:rFonts w:eastAsia="黑体"/>
          <w:b/>
          <w:bCs/>
          <w:color w:val="auto"/>
          <w:sz w:val="30"/>
          <w:szCs w:val="30"/>
          <w:highlight w:val="none"/>
        </w:rPr>
        <w:t>评</w:t>
      </w:r>
      <w:r>
        <w:rPr>
          <w:rFonts w:hint="eastAsia" w:eastAsia="黑体"/>
          <w:b/>
          <w:bCs/>
          <w:color w:val="auto"/>
          <w:sz w:val="30"/>
          <w:szCs w:val="30"/>
          <w:highlight w:val="none"/>
        </w:rPr>
        <w:t>审标准</w:t>
      </w:r>
      <w:r>
        <w:rPr>
          <w:rFonts w:eastAsia="黑体"/>
          <w:b/>
          <w:bCs/>
          <w:color w:val="auto"/>
          <w:sz w:val="30"/>
          <w:szCs w:val="30"/>
          <w:highlight w:val="none"/>
        </w:rPr>
        <w:t>表</w:t>
      </w:r>
    </w:p>
    <w:p w14:paraId="32D407E1">
      <w:pPr>
        <w:widowControl/>
        <w:spacing w:before="100" w:beforeAutospacing="1" w:after="100" w:afterAutospacing="1"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用综合评审法，通过资格审查的供应商的响应文件，按如下标准评审，所有评委对技术服务方案得分的算术平均值为该投标人的技术得分。经核对无误后，评标委员会全体成员签字确认。再将技术服务方案得分与商务得分、资信得分相加即为该投标人的总得分，总得分保留小数点后两位，小数点后保留值按四舍五入方式取舍。</w:t>
      </w:r>
    </w:p>
    <w:p w14:paraId="65EE85A2">
      <w:pPr>
        <w:widowControl/>
        <w:spacing w:before="100" w:beforeAutospacing="1" w:after="100" w:afterAutospacing="1"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根据供应商总得分由高到低的顺序推荐前三名作为成交候选人，采购人根据评标委员会提出的书面评标报告和推荐的前三名成交候选人顺序确定成交人。获得最高分的供应商为成交供应商。当获得最高分的成交供应商放弃中标、因不可抗力提出不能履行合同，或者询价函规定应当提交履约担保而在规定的期限内未能提交的，采购人可以确定排名第二的成交候选人为成交人。</w:t>
      </w:r>
    </w:p>
    <w:p w14:paraId="45B13368">
      <w:pPr>
        <w:widowControl/>
        <w:spacing w:before="100" w:beforeAutospacing="1" w:after="100" w:afterAutospacing="1"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排名第二的成交候选人因前款规定的同样原因不能签订合同的，采购人可以确定排名第三的成交候选人为成交人。</w:t>
      </w:r>
    </w:p>
    <w:p w14:paraId="1AF96562">
      <w:pPr>
        <w:widowControl/>
        <w:spacing w:before="100" w:beforeAutospacing="1" w:after="100" w:afterAutospacing="1" w:line="360" w:lineRule="auto"/>
        <w:ind w:firstLine="480" w:firstLineChars="200"/>
        <w:contextualSpacing/>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当出现两个或两个以上供应商获得同等最高得分时，由评标委员会以不记名投票多少的方式确定成交候选人排序</w:t>
      </w:r>
      <w:r>
        <w:rPr>
          <w:rFonts w:hint="eastAsia" w:ascii="宋体" w:hAnsi="宋体" w:eastAsia="宋体" w:cs="宋体"/>
          <w:color w:val="auto"/>
          <w:kern w:val="0"/>
          <w:sz w:val="24"/>
          <w:szCs w:val="24"/>
          <w:highlight w:val="none"/>
          <w:lang w:val="en-US" w:eastAsia="zh-CN"/>
        </w:rPr>
        <w:t>。</w:t>
      </w:r>
    </w:p>
    <w:tbl>
      <w:tblPr>
        <w:tblStyle w:val="19"/>
        <w:tblW w:w="845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1280"/>
        <w:gridCol w:w="5684"/>
        <w:gridCol w:w="1021"/>
      </w:tblGrid>
      <w:tr w14:paraId="2967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9" w:type="dxa"/>
            <w:tcBorders>
              <w:tl2br w:val="nil"/>
              <w:tr2bl w:val="nil"/>
            </w:tcBorders>
            <w:shd w:val="clear" w:color="auto" w:fill="auto"/>
            <w:noWrap/>
            <w:vAlign w:val="center"/>
          </w:tcPr>
          <w:p w14:paraId="2FFB1383">
            <w:pPr>
              <w:widowControl/>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280" w:type="dxa"/>
            <w:tcBorders>
              <w:tl2br w:val="nil"/>
              <w:tr2bl w:val="nil"/>
            </w:tcBorders>
            <w:shd w:val="clear" w:color="auto" w:fill="auto"/>
            <w:vAlign w:val="center"/>
          </w:tcPr>
          <w:p w14:paraId="1378673C">
            <w:pPr>
              <w:widowControl/>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评审因素</w:t>
            </w:r>
          </w:p>
        </w:tc>
        <w:tc>
          <w:tcPr>
            <w:tcW w:w="5684" w:type="dxa"/>
            <w:tcBorders>
              <w:tl2br w:val="nil"/>
              <w:tr2bl w:val="nil"/>
            </w:tcBorders>
            <w:shd w:val="clear" w:color="auto" w:fill="auto"/>
            <w:vAlign w:val="center"/>
          </w:tcPr>
          <w:p w14:paraId="749FD6B9">
            <w:pPr>
              <w:widowControl/>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评分标准</w:t>
            </w:r>
          </w:p>
        </w:tc>
        <w:tc>
          <w:tcPr>
            <w:tcW w:w="1021" w:type="dxa"/>
            <w:tcBorders>
              <w:tl2br w:val="nil"/>
              <w:tr2bl w:val="nil"/>
            </w:tcBorders>
            <w:shd w:val="clear" w:color="auto" w:fill="auto"/>
            <w:vAlign w:val="center"/>
          </w:tcPr>
          <w:p w14:paraId="4BE980CF">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满分</w:t>
            </w:r>
          </w:p>
        </w:tc>
      </w:tr>
      <w:tr w14:paraId="7A01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69" w:type="dxa"/>
            <w:tcBorders>
              <w:tl2br w:val="nil"/>
              <w:tr2bl w:val="nil"/>
            </w:tcBorders>
            <w:shd w:val="clear" w:color="auto" w:fill="auto"/>
            <w:noWrap/>
            <w:vAlign w:val="center"/>
          </w:tcPr>
          <w:p w14:paraId="16AFA5AC">
            <w:pPr>
              <w:widowControl/>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80" w:type="dxa"/>
            <w:tcBorders>
              <w:tl2br w:val="nil"/>
              <w:tr2bl w:val="nil"/>
            </w:tcBorders>
            <w:shd w:val="clear" w:color="auto" w:fill="auto"/>
            <w:vAlign w:val="center"/>
          </w:tcPr>
          <w:p w14:paraId="08E97AE4">
            <w:pPr>
              <w:widowControl/>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报价得分</w:t>
            </w:r>
          </w:p>
        </w:tc>
        <w:tc>
          <w:tcPr>
            <w:tcW w:w="5684" w:type="dxa"/>
            <w:tcBorders>
              <w:tl2br w:val="nil"/>
              <w:tr2bl w:val="nil"/>
            </w:tcBorders>
            <w:shd w:val="clear" w:color="auto" w:fill="auto"/>
            <w:vAlign w:val="center"/>
          </w:tcPr>
          <w:p w14:paraId="36C3BA85">
            <w:pPr>
              <w:widowControl/>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（1）评标基准价：所有投标报价的算术平均值。</w:t>
            </w:r>
          </w:p>
          <w:p w14:paraId="1F8CD051">
            <w:pPr>
              <w:widowControl/>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（2）当投标报价与评标基准价相同时，商务报价得分为满分，得</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分。各投标单位的有效报价比基准价每增加1%，得分减1分，最低得0分；每减少1%，得分减0.5分，最低得0分。（得分保留小数点后两位，小数点后保留值按四舍五入方式取舍）。</w:t>
            </w:r>
          </w:p>
        </w:tc>
        <w:tc>
          <w:tcPr>
            <w:tcW w:w="1021" w:type="dxa"/>
            <w:tcBorders>
              <w:tl2br w:val="nil"/>
              <w:tr2bl w:val="nil"/>
            </w:tcBorders>
            <w:shd w:val="clear" w:color="auto" w:fill="auto"/>
            <w:vAlign w:val="center"/>
          </w:tcPr>
          <w:p w14:paraId="7BCC67E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w:t>
            </w:r>
          </w:p>
        </w:tc>
      </w:tr>
      <w:tr w14:paraId="314E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469" w:type="dxa"/>
            <w:vMerge w:val="restart"/>
            <w:tcBorders>
              <w:tl2br w:val="nil"/>
              <w:tr2bl w:val="nil"/>
            </w:tcBorders>
            <w:shd w:val="clear" w:color="auto" w:fill="auto"/>
            <w:vAlign w:val="center"/>
          </w:tcPr>
          <w:p w14:paraId="6D2DA763">
            <w:pPr>
              <w:widowControl/>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280" w:type="dxa"/>
            <w:vMerge w:val="restart"/>
            <w:tcBorders>
              <w:tl2br w:val="nil"/>
              <w:tr2bl w:val="nil"/>
            </w:tcBorders>
            <w:shd w:val="clear" w:color="auto" w:fill="auto"/>
            <w:vAlign w:val="center"/>
          </w:tcPr>
          <w:p w14:paraId="1D8C3869">
            <w:pPr>
              <w:widowControl/>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同类项目业绩</w:t>
            </w:r>
          </w:p>
        </w:tc>
        <w:tc>
          <w:tcPr>
            <w:tcW w:w="5684" w:type="dxa"/>
            <w:tcBorders>
              <w:right w:val="single" w:color="000000" w:sz="4" w:space="0"/>
              <w:tl2br w:val="nil"/>
              <w:tr2bl w:val="nil"/>
            </w:tcBorders>
            <w:shd w:val="clear" w:color="auto" w:fill="auto"/>
            <w:vAlign w:val="center"/>
          </w:tcPr>
          <w:p w14:paraId="0B9A7BBE">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近三年（202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年1月1日-至今）具有提供服务的类似业绩，</w:t>
            </w:r>
            <w:r>
              <w:rPr>
                <w:rFonts w:hint="eastAsia" w:ascii="宋体" w:hAnsi="宋体" w:eastAsia="宋体" w:cs="宋体"/>
                <w:color w:val="auto"/>
                <w:kern w:val="0"/>
                <w:sz w:val="24"/>
                <w:szCs w:val="24"/>
                <w:highlight w:val="none"/>
                <w:lang w:val="en-US" w:eastAsia="zh-CN"/>
              </w:rPr>
              <w:t>每提供一项得2</w:t>
            </w:r>
            <w:r>
              <w:rPr>
                <w:rFonts w:hint="eastAsia" w:ascii="宋体" w:hAnsi="宋体" w:eastAsia="宋体" w:cs="宋体"/>
                <w:color w:val="auto"/>
                <w:kern w:val="0"/>
                <w:sz w:val="24"/>
                <w:szCs w:val="24"/>
                <w:highlight w:val="none"/>
              </w:rPr>
              <w:t>分；最多</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分，未提供不得分。【注：提供相关合同关键页复印件并加盖公章，日期以合同签订日期为准】</w:t>
            </w:r>
          </w:p>
        </w:tc>
        <w:tc>
          <w:tcPr>
            <w:tcW w:w="1021" w:type="dxa"/>
            <w:tcBorders>
              <w:left w:val="single" w:color="000000" w:sz="4" w:space="0"/>
              <w:tl2br w:val="nil"/>
              <w:tr2bl w:val="nil"/>
            </w:tcBorders>
            <w:shd w:val="clear" w:color="auto" w:fill="auto"/>
            <w:vAlign w:val="center"/>
          </w:tcPr>
          <w:p w14:paraId="1AA0040C">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r>
      <w:tr w14:paraId="3DD4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69" w:type="dxa"/>
            <w:tcBorders>
              <w:tl2br w:val="nil"/>
              <w:tr2bl w:val="nil"/>
            </w:tcBorders>
            <w:shd w:val="clear" w:color="auto" w:fill="auto"/>
            <w:noWrap/>
            <w:vAlign w:val="center"/>
          </w:tcPr>
          <w:p w14:paraId="26DAD006">
            <w:pPr>
              <w:widowControl/>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1280" w:type="dxa"/>
            <w:tcBorders>
              <w:tl2br w:val="nil"/>
              <w:tr2bl w:val="nil"/>
            </w:tcBorders>
            <w:shd w:val="clear" w:color="auto" w:fill="auto"/>
            <w:vAlign w:val="center"/>
          </w:tcPr>
          <w:p w14:paraId="0FC7C5D3">
            <w:pPr>
              <w:widowControl/>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服务方案</w:t>
            </w:r>
            <w:r>
              <w:rPr>
                <w:rFonts w:ascii="宋体" w:hAnsi="宋体" w:eastAsia="宋体" w:cs="宋体"/>
                <w:color w:val="auto"/>
                <w:kern w:val="0"/>
                <w:sz w:val="24"/>
                <w:szCs w:val="24"/>
                <w:highlight w:val="none"/>
              </w:rPr>
              <w:t>及具体实施措施</w:t>
            </w:r>
          </w:p>
        </w:tc>
        <w:tc>
          <w:tcPr>
            <w:tcW w:w="5684" w:type="dxa"/>
            <w:tcBorders>
              <w:bottom w:val="single" w:color="000000" w:sz="4" w:space="0"/>
              <w:tl2br w:val="nil"/>
              <w:tr2bl w:val="nil"/>
            </w:tcBorders>
            <w:shd w:val="clear" w:color="auto" w:fill="auto"/>
            <w:vAlign w:val="center"/>
          </w:tcPr>
          <w:p w14:paraId="3634DC49">
            <w:pPr>
              <w:widowControl/>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服务</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rPr>
              <w:t>细致、满足采购单位要求、有建设性，服务体系报告编制完整、详细有效，对本项目实施的范围明确、内容清楚，采用的思路及方法清晰、合理、可行。好为</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分；较好为15～10分；一般为10～5分。</w:t>
            </w:r>
          </w:p>
        </w:tc>
        <w:tc>
          <w:tcPr>
            <w:tcW w:w="1021" w:type="dxa"/>
            <w:tcBorders>
              <w:top w:val="single" w:color="000000" w:sz="4" w:space="0"/>
              <w:bottom w:val="single" w:color="000000" w:sz="4" w:space="0"/>
              <w:tl2br w:val="nil"/>
              <w:tr2bl w:val="nil"/>
            </w:tcBorders>
            <w:shd w:val="clear" w:color="auto" w:fill="auto"/>
            <w:vAlign w:val="center"/>
          </w:tcPr>
          <w:p w14:paraId="28954334">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r>
      <w:tr w14:paraId="1AEC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69" w:type="dxa"/>
            <w:tcBorders>
              <w:tl2br w:val="nil"/>
              <w:tr2bl w:val="nil"/>
            </w:tcBorders>
            <w:shd w:val="clear" w:color="auto" w:fill="auto"/>
            <w:noWrap/>
            <w:vAlign w:val="center"/>
          </w:tcPr>
          <w:p w14:paraId="62A14221">
            <w:pPr>
              <w:widowControl/>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4</w:t>
            </w:r>
          </w:p>
        </w:tc>
        <w:tc>
          <w:tcPr>
            <w:tcW w:w="1280" w:type="dxa"/>
            <w:tcBorders>
              <w:tl2br w:val="nil"/>
              <w:tr2bl w:val="nil"/>
            </w:tcBorders>
            <w:shd w:val="clear" w:color="auto" w:fill="auto"/>
            <w:vAlign w:val="center"/>
          </w:tcPr>
          <w:p w14:paraId="0E9D1987">
            <w:pPr>
              <w:widowControl/>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工作进度计划安排及保障措施</w:t>
            </w:r>
          </w:p>
        </w:tc>
        <w:tc>
          <w:tcPr>
            <w:tcW w:w="5684" w:type="dxa"/>
            <w:tcBorders>
              <w:top w:val="single" w:color="000000" w:sz="4" w:space="0"/>
              <w:bottom w:val="single" w:color="000000" w:sz="4" w:space="0"/>
              <w:tl2br w:val="nil"/>
              <w:tr2bl w:val="nil"/>
            </w:tcBorders>
            <w:shd w:val="clear" w:color="auto" w:fill="auto"/>
            <w:vAlign w:val="center"/>
          </w:tcPr>
          <w:p w14:paraId="3388081B">
            <w:pPr>
              <w:widowControl/>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报告编制工作进度计划科学合理，结合其作出的保障措施的可行性进行对比，满足采购人对工期的要求且保障措施合理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项目团队配置合理，工作安排合理、团队分工明确，确保按时完成工作。团队全部人员需要在响应文件中</w:t>
            </w:r>
            <w:r>
              <w:rPr>
                <w:rFonts w:hint="eastAsia" w:ascii="宋体" w:hAnsi="宋体" w:eastAsia="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身份证复印件和近半年</w:t>
            </w:r>
            <w:r>
              <w:rPr>
                <w:rFonts w:hint="eastAsia" w:ascii="宋体" w:hAnsi="宋体" w:eastAsia="宋体" w:cs="宋体"/>
                <w:color w:val="auto"/>
                <w:kern w:val="0"/>
                <w:sz w:val="24"/>
                <w:szCs w:val="24"/>
                <w:highlight w:val="none"/>
                <w:lang w:val="en-US" w:eastAsia="zh-CN"/>
              </w:rPr>
              <w:t>且</w:t>
            </w:r>
            <w:r>
              <w:rPr>
                <w:rFonts w:hint="eastAsia" w:ascii="宋体" w:hAnsi="宋体" w:eastAsia="宋体" w:cs="宋体"/>
                <w:color w:val="auto"/>
                <w:kern w:val="0"/>
                <w:sz w:val="24"/>
                <w:szCs w:val="24"/>
                <w:highlight w:val="none"/>
              </w:rPr>
              <w:t>不少于连续3个月的社保缴纳证明，否则不予认定加分。好为</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分；较好为15～10分；一般为10～5分。</w:t>
            </w:r>
          </w:p>
        </w:tc>
        <w:tc>
          <w:tcPr>
            <w:tcW w:w="1021" w:type="dxa"/>
            <w:tcBorders>
              <w:top w:val="single" w:color="000000" w:sz="4" w:space="0"/>
              <w:bottom w:val="single" w:color="000000" w:sz="4" w:space="0"/>
              <w:tl2br w:val="nil"/>
              <w:tr2bl w:val="nil"/>
            </w:tcBorders>
            <w:vAlign w:val="center"/>
          </w:tcPr>
          <w:p w14:paraId="705E0004">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r>
      <w:tr w14:paraId="425B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69" w:type="dxa"/>
            <w:tcBorders>
              <w:tl2br w:val="nil"/>
              <w:tr2bl w:val="nil"/>
            </w:tcBorders>
            <w:shd w:val="clear" w:color="auto" w:fill="auto"/>
            <w:noWrap/>
            <w:vAlign w:val="center"/>
          </w:tcPr>
          <w:p w14:paraId="150D2DB5">
            <w:pPr>
              <w:widowControl/>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1280" w:type="dxa"/>
            <w:tcBorders>
              <w:tl2br w:val="nil"/>
              <w:tr2bl w:val="nil"/>
            </w:tcBorders>
            <w:shd w:val="clear" w:color="auto" w:fill="auto"/>
            <w:vAlign w:val="center"/>
          </w:tcPr>
          <w:p w14:paraId="16348420">
            <w:pPr>
              <w:widowControl/>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供应商承诺及服务深度</w:t>
            </w:r>
          </w:p>
        </w:tc>
        <w:tc>
          <w:tcPr>
            <w:tcW w:w="5684" w:type="dxa"/>
            <w:tcBorders>
              <w:top w:val="single" w:color="000000" w:sz="4" w:space="0"/>
              <w:bottom w:val="single" w:color="000000" w:sz="4" w:space="0"/>
              <w:tl2br w:val="nil"/>
              <w:tr2bl w:val="nil"/>
            </w:tcBorders>
            <w:shd w:val="clear" w:color="auto" w:fill="auto"/>
            <w:vAlign w:val="center"/>
          </w:tcPr>
          <w:p w14:paraId="0579E38E">
            <w:pPr>
              <w:widowControl/>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对重点难点工作针对性制定工作计划，报告编制质量承诺、保证措施及服务承诺，具有完整性、合理性及实施可行性。好为</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分；较好为15～10分；一般为10～5分。</w:t>
            </w:r>
          </w:p>
        </w:tc>
        <w:tc>
          <w:tcPr>
            <w:tcW w:w="1021" w:type="dxa"/>
            <w:tcBorders>
              <w:top w:val="single" w:color="000000" w:sz="4" w:space="0"/>
              <w:bottom w:val="single" w:color="000000" w:sz="4" w:space="0"/>
              <w:tl2br w:val="nil"/>
              <w:tr2bl w:val="nil"/>
            </w:tcBorders>
            <w:vAlign w:val="center"/>
          </w:tcPr>
          <w:p w14:paraId="51A416F5">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r>
    </w:tbl>
    <w:p w14:paraId="4E63154C">
      <w:pPr>
        <w:widowControl/>
        <w:spacing w:before="100" w:beforeAutospacing="1" w:after="100" w:afterAutospacing="1" w:line="360" w:lineRule="auto"/>
        <w:ind w:firstLine="480" w:firstLineChars="200"/>
        <w:contextualSpacing/>
        <w:jc w:val="left"/>
        <w:rPr>
          <w:rFonts w:hint="eastAsia" w:ascii="宋体" w:hAnsi="宋体" w:eastAsia="宋体" w:cs="宋体"/>
          <w:color w:val="auto"/>
          <w:kern w:val="0"/>
          <w:sz w:val="24"/>
          <w:szCs w:val="24"/>
          <w:highlight w:val="none"/>
          <w:lang w:val="en-US" w:eastAsia="zh-CN"/>
        </w:rPr>
      </w:pPr>
    </w:p>
    <w:p w14:paraId="076FA995">
      <w:pPr>
        <w:spacing w:line="360" w:lineRule="auto"/>
        <w:jc w:val="left"/>
        <w:rPr>
          <w:rFonts w:hint="eastAsia"/>
          <w:color w:val="auto"/>
          <w:szCs w:val="21"/>
          <w:highlight w:val="none"/>
        </w:rPr>
      </w:pPr>
    </w:p>
    <w:p w14:paraId="2F9AF04F">
      <w:pPr>
        <w:spacing w:line="360" w:lineRule="auto"/>
        <w:jc w:val="left"/>
        <w:rPr>
          <w:rFonts w:hint="eastAsia"/>
          <w:color w:val="auto"/>
          <w:szCs w:val="21"/>
          <w:highlight w:val="none"/>
        </w:rPr>
      </w:pPr>
    </w:p>
    <w:p w14:paraId="1ADD43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Times New Roman"/>
          <w:color w:val="auto"/>
          <w:sz w:val="32"/>
          <w:szCs w:val="32"/>
          <w:highlight w:val="none"/>
          <w:lang w:val="en-US" w:eastAsia="zh-CN"/>
        </w:rPr>
      </w:pPr>
    </w:p>
    <w:p w14:paraId="3E22CC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Times New Roman"/>
          <w:color w:val="auto"/>
          <w:sz w:val="32"/>
          <w:szCs w:val="32"/>
          <w:highlight w:val="none"/>
          <w:lang w:val="en-US" w:eastAsia="zh-CN"/>
        </w:rPr>
      </w:pPr>
    </w:p>
    <w:p w14:paraId="0D5B72C6">
      <w:pPr>
        <w:pStyle w:val="6"/>
        <w:rPr>
          <w:rFonts w:hint="eastAsia" w:ascii="宋体" w:hAnsi="宋体" w:eastAsia="宋体" w:cs="宋体"/>
          <w:color w:val="auto"/>
          <w:sz w:val="28"/>
          <w:szCs w:val="28"/>
          <w:highlight w:val="none"/>
        </w:rPr>
      </w:pPr>
    </w:p>
    <w:p w14:paraId="2828857C">
      <w:pPr>
        <w:pStyle w:val="6"/>
        <w:rPr>
          <w:rFonts w:hint="eastAsia" w:ascii="宋体" w:hAnsi="宋体" w:eastAsia="宋体" w:cs="宋体"/>
          <w:color w:val="auto"/>
          <w:sz w:val="28"/>
          <w:szCs w:val="28"/>
          <w:highlight w:val="none"/>
        </w:rPr>
      </w:pPr>
    </w:p>
    <w:p w14:paraId="6C052903">
      <w:pPr>
        <w:pStyle w:val="6"/>
        <w:rPr>
          <w:rFonts w:hint="eastAsia" w:ascii="宋体" w:hAnsi="宋体" w:eastAsia="宋体" w:cs="宋体"/>
          <w:color w:val="auto"/>
          <w:sz w:val="28"/>
          <w:szCs w:val="28"/>
          <w:highlight w:val="none"/>
        </w:rPr>
      </w:pPr>
    </w:p>
    <w:p w14:paraId="0A5C0E89">
      <w:pPr>
        <w:pStyle w:val="6"/>
        <w:rPr>
          <w:rFonts w:hint="eastAsia" w:ascii="宋体" w:hAnsi="宋体" w:eastAsia="宋体" w:cs="宋体"/>
          <w:color w:val="auto"/>
          <w:sz w:val="28"/>
          <w:szCs w:val="28"/>
          <w:highlight w:val="none"/>
        </w:rPr>
      </w:pPr>
    </w:p>
    <w:p w14:paraId="324F7E4C">
      <w:pPr>
        <w:pStyle w:val="26"/>
        <w:numPr>
          <w:ilvl w:val="0"/>
          <w:numId w:val="0"/>
        </w:numPr>
        <w:spacing w:line="480" w:lineRule="exact"/>
        <w:contextualSpacing/>
        <w:rPr>
          <w:rFonts w:hint="eastAsia"/>
          <w:color w:val="auto"/>
          <w:highlight w:val="none"/>
          <w:lang w:eastAsia="zh-CN"/>
        </w:rPr>
      </w:pPr>
    </w:p>
    <w:p w14:paraId="7FB4AC13">
      <w:pPr>
        <w:pStyle w:val="26"/>
        <w:numPr>
          <w:ilvl w:val="0"/>
          <w:numId w:val="0"/>
        </w:numPr>
        <w:spacing w:line="480" w:lineRule="exact"/>
        <w:contextualSpacing/>
        <w:rPr>
          <w:rFonts w:hint="eastAsia"/>
          <w:color w:val="auto"/>
          <w:highlight w:val="none"/>
          <w:lang w:eastAsia="zh-CN"/>
        </w:rPr>
      </w:pPr>
    </w:p>
    <w:p w14:paraId="559C4DE5">
      <w:pPr>
        <w:pStyle w:val="26"/>
        <w:numPr>
          <w:ilvl w:val="0"/>
          <w:numId w:val="0"/>
        </w:numPr>
        <w:spacing w:line="480" w:lineRule="exact"/>
        <w:contextualSpacing/>
        <w:rPr>
          <w:rFonts w:hint="eastAsia"/>
          <w:color w:val="auto"/>
          <w:highlight w:val="none"/>
          <w:lang w:eastAsia="zh-CN"/>
        </w:rPr>
      </w:pPr>
    </w:p>
    <w:p w14:paraId="6FE73000">
      <w:pPr>
        <w:pStyle w:val="26"/>
        <w:numPr>
          <w:ilvl w:val="0"/>
          <w:numId w:val="0"/>
        </w:numPr>
        <w:spacing w:line="480" w:lineRule="exact"/>
        <w:contextualSpacing/>
        <w:rPr>
          <w:rFonts w:hint="eastAsia"/>
          <w:color w:val="auto"/>
          <w:highlight w:val="none"/>
          <w:lang w:eastAsia="zh-CN"/>
        </w:rPr>
      </w:pPr>
    </w:p>
    <w:p w14:paraId="2DD897CA">
      <w:pPr>
        <w:pStyle w:val="26"/>
        <w:numPr>
          <w:ilvl w:val="0"/>
          <w:numId w:val="0"/>
        </w:numPr>
        <w:spacing w:line="480" w:lineRule="exact"/>
        <w:contextualSpacing/>
        <w:rPr>
          <w:rFonts w:hint="eastAsia"/>
          <w:color w:val="auto"/>
          <w:highlight w:val="none"/>
          <w:lang w:eastAsia="zh-CN"/>
        </w:rPr>
      </w:pPr>
    </w:p>
    <w:p w14:paraId="7D05A415">
      <w:pPr>
        <w:pStyle w:val="26"/>
        <w:numPr>
          <w:ilvl w:val="0"/>
          <w:numId w:val="0"/>
        </w:numPr>
        <w:spacing w:line="480" w:lineRule="exact"/>
        <w:contextualSpacing/>
        <w:rPr>
          <w:rFonts w:hint="eastAsia"/>
          <w:color w:val="auto"/>
          <w:highlight w:val="none"/>
          <w:lang w:eastAsia="zh-CN"/>
        </w:rPr>
      </w:pPr>
    </w:p>
    <w:p w14:paraId="6A036868">
      <w:pPr>
        <w:pStyle w:val="26"/>
        <w:numPr>
          <w:ilvl w:val="0"/>
          <w:numId w:val="0"/>
        </w:numPr>
        <w:spacing w:line="480" w:lineRule="exact"/>
        <w:contextualSpacing/>
        <w:rPr>
          <w:rFonts w:hint="eastAsia"/>
          <w:color w:val="auto"/>
          <w:highlight w:val="none"/>
          <w:lang w:eastAsia="zh-CN"/>
        </w:rPr>
      </w:pPr>
    </w:p>
    <w:p w14:paraId="04513EC6">
      <w:pPr>
        <w:pStyle w:val="26"/>
        <w:numPr>
          <w:ilvl w:val="0"/>
          <w:numId w:val="0"/>
        </w:numPr>
        <w:spacing w:line="480" w:lineRule="exact"/>
        <w:contextualSpacing/>
        <w:rPr>
          <w:rFonts w:hint="eastAsia"/>
          <w:color w:val="auto"/>
          <w:highlight w:val="none"/>
          <w:lang w:eastAsia="zh-CN"/>
        </w:rPr>
      </w:pPr>
    </w:p>
    <w:p w14:paraId="1338B01D">
      <w:pPr>
        <w:pStyle w:val="26"/>
        <w:numPr>
          <w:ilvl w:val="0"/>
          <w:numId w:val="0"/>
        </w:numPr>
        <w:spacing w:line="480" w:lineRule="exact"/>
        <w:contextualSpacing/>
        <w:rPr>
          <w:rFonts w:hint="eastAsia"/>
          <w:color w:val="auto"/>
          <w:highlight w:val="none"/>
          <w:lang w:eastAsia="zh-CN"/>
        </w:rPr>
      </w:pPr>
    </w:p>
    <w:p w14:paraId="3E8FA359">
      <w:pPr>
        <w:pStyle w:val="26"/>
        <w:numPr>
          <w:ilvl w:val="0"/>
          <w:numId w:val="0"/>
        </w:numPr>
        <w:spacing w:line="480" w:lineRule="exact"/>
        <w:contextualSpacing/>
        <w:rPr>
          <w:rFonts w:hint="eastAsia"/>
          <w:color w:val="auto"/>
          <w:highlight w:val="none"/>
          <w:lang w:eastAsia="zh-CN"/>
        </w:rPr>
      </w:pPr>
      <w:r>
        <w:rPr>
          <w:rFonts w:hint="eastAsia"/>
          <w:color w:val="auto"/>
          <w:highlight w:val="none"/>
          <w:lang w:eastAsia="zh-CN"/>
        </w:rPr>
        <w:t>附图：</w:t>
      </w:r>
    </w:p>
    <w:p w14:paraId="34F0CC7D">
      <w:pPr>
        <w:pStyle w:val="6"/>
        <w:rPr>
          <w:rFonts w:hint="eastAsia" w:ascii="宋体" w:hAnsi="宋体" w:eastAsia="宋体" w:cs="宋体"/>
          <w:color w:val="auto"/>
          <w:sz w:val="28"/>
          <w:szCs w:val="28"/>
          <w:highlight w:val="none"/>
        </w:rPr>
      </w:pPr>
      <w:r>
        <w:rPr>
          <w:color w:val="auto"/>
          <w:highlight w:val="none"/>
        </w:rPr>
        <w:drawing>
          <wp:anchor distT="0" distB="0" distL="114300" distR="114300" simplePos="0" relativeHeight="251660288" behindDoc="0" locked="0" layoutInCell="1" allowOverlap="1">
            <wp:simplePos x="0" y="0"/>
            <wp:positionH relativeFrom="column">
              <wp:posOffset>190500</wp:posOffset>
            </wp:positionH>
            <wp:positionV relativeFrom="paragraph">
              <wp:posOffset>2413000</wp:posOffset>
            </wp:positionV>
            <wp:extent cx="4953635" cy="3359785"/>
            <wp:effectExtent l="0" t="0" r="18415" b="12065"/>
            <wp:wrapTopAndBottom/>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4"/>
                    <a:stretch>
                      <a:fillRect/>
                    </a:stretch>
                  </pic:blipFill>
                  <pic:spPr>
                    <a:xfrm>
                      <a:off x="0" y="0"/>
                      <a:ext cx="4953635" cy="3359785"/>
                    </a:xfrm>
                    <a:prstGeom prst="rect">
                      <a:avLst/>
                    </a:prstGeom>
                    <a:noFill/>
                    <a:ln>
                      <a:noFill/>
                    </a:ln>
                  </pic:spPr>
                </pic:pic>
              </a:graphicData>
            </a:graphic>
          </wp:anchor>
        </w:drawing>
      </w:r>
      <w:r>
        <w:rPr>
          <w:color w:val="auto"/>
          <w:highlight w:val="none"/>
        </w:rPr>
        <w:drawing>
          <wp:anchor distT="0" distB="0" distL="114935" distR="114935" simplePos="0" relativeHeight="251659264" behindDoc="0" locked="0" layoutInCell="1" allowOverlap="1">
            <wp:simplePos x="0" y="0"/>
            <wp:positionH relativeFrom="column">
              <wp:posOffset>142875</wp:posOffset>
            </wp:positionH>
            <wp:positionV relativeFrom="paragraph">
              <wp:posOffset>127000</wp:posOffset>
            </wp:positionV>
            <wp:extent cx="5000625" cy="2146300"/>
            <wp:effectExtent l="0" t="0" r="9525" b="6350"/>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5000625" cy="2146300"/>
                    </a:xfrm>
                    <a:prstGeom prst="rect">
                      <a:avLst/>
                    </a:prstGeom>
                    <a:noFill/>
                    <a:ln>
                      <a:noFill/>
                    </a:ln>
                  </pic:spPr>
                </pic:pic>
              </a:graphicData>
            </a:graphic>
          </wp:anchor>
        </w:drawing>
      </w:r>
    </w:p>
    <w:bookmarkEnd w:id="3"/>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等线">
    <w:altName w:val="Noto Sans CJK SC"/>
    <w:panose1 w:val="00000000000000000000"/>
    <w:charset w:val="00"/>
    <w:family w:val="auto"/>
    <w:pitch w:val="default"/>
    <w:sig w:usb0="00000000" w:usb1="00000000" w:usb2="00000000" w:usb3="00000000" w:csb0="00000000" w:csb1="00000000"/>
  </w:font>
  <w:font w:name="GWZT-EN">
    <w:panose1 w:val="020204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F0EE7"/>
    <w:multiLevelType w:val="singleLevel"/>
    <w:tmpl w:val="C09F0EE7"/>
    <w:lvl w:ilvl="0" w:tentative="0">
      <w:start w:val="1"/>
      <w:numFmt w:val="chineseCounting"/>
      <w:suff w:val="nothing"/>
      <w:lvlText w:val="%1、"/>
      <w:lvlJc w:val="left"/>
      <w:rPr>
        <w:rFonts w:hint="eastAsia"/>
      </w:rPr>
    </w:lvl>
  </w:abstractNum>
  <w:abstractNum w:abstractNumId="1">
    <w:nsid w:val="D84999B9"/>
    <w:multiLevelType w:val="singleLevel"/>
    <w:tmpl w:val="D84999B9"/>
    <w:lvl w:ilvl="0" w:tentative="0">
      <w:start w:val="1"/>
      <w:numFmt w:val="decimal"/>
      <w:lvlText w:val="(%1)"/>
      <w:lvlJc w:val="left"/>
      <w:pPr>
        <w:ind w:left="425" w:hanging="425"/>
      </w:pPr>
      <w:rPr>
        <w:rFonts w:hint="default"/>
      </w:rPr>
    </w:lvl>
  </w:abstractNum>
  <w:abstractNum w:abstractNumId="2">
    <w:nsid w:val="5865CDF1"/>
    <w:multiLevelType w:val="multilevel"/>
    <w:tmpl w:val="5865CDF1"/>
    <w:lvl w:ilvl="0" w:tentative="0">
      <w:start w:val="1"/>
      <w:numFmt w:val="chineseCounting"/>
      <w:suff w:val="nothing"/>
      <w:lvlText w:val="%1、"/>
      <w:lvlJc w:val="left"/>
      <w:pPr>
        <w:ind w:left="0" w:firstLine="420"/>
      </w:pPr>
      <w:rPr>
        <w:rFonts w:hint="eastAsia"/>
      </w:rPr>
    </w:lvl>
    <w:lvl w:ilvl="1" w:tentative="0">
      <w:start w:val="1"/>
      <w:numFmt w:val="chineseCounting"/>
      <w:pStyle w:val="3"/>
      <w:lvlText w:val="%2)"/>
      <w:lvlJc w:val="left"/>
      <w:pPr>
        <w:tabs>
          <w:tab w:val="left" w:pos="840"/>
        </w:tabs>
        <w:ind w:left="840" w:hanging="420"/>
      </w:pPr>
      <w:rPr>
        <w:rFonts w:hint="eastAsia" w:ascii="宋体" w:hAnsi="宋体" w:eastAsia="宋体" w:cs="宋体"/>
      </w:rPr>
    </w:lvl>
    <w:lvl w:ilvl="2" w:tentative="0">
      <w:start w:val="1"/>
      <w:numFmt w:val="lowerRoman"/>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left"/>
      <w:pPr>
        <w:tabs>
          <w:tab w:val="left" w:pos="3780"/>
        </w:tabs>
        <w:ind w:left="3780" w:hanging="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ZTk3NmRmZDBjY2VmN2ZlOWU5MWE0OWQ5YmFhNWEifQ=="/>
  </w:docVars>
  <w:rsids>
    <w:rsidRoot w:val="00172A27"/>
    <w:rsid w:val="00000FCF"/>
    <w:rsid w:val="000040C8"/>
    <w:rsid w:val="00005FAD"/>
    <w:rsid w:val="00024F33"/>
    <w:rsid w:val="000313A3"/>
    <w:rsid w:val="000449A4"/>
    <w:rsid w:val="00051452"/>
    <w:rsid w:val="000815DF"/>
    <w:rsid w:val="000B13B5"/>
    <w:rsid w:val="000C6B6E"/>
    <w:rsid w:val="000D1905"/>
    <w:rsid w:val="000E3EBF"/>
    <w:rsid w:val="000F75CB"/>
    <w:rsid w:val="001077D1"/>
    <w:rsid w:val="00110089"/>
    <w:rsid w:val="0011216A"/>
    <w:rsid w:val="00113069"/>
    <w:rsid w:val="001405AF"/>
    <w:rsid w:val="001439A2"/>
    <w:rsid w:val="00143DDC"/>
    <w:rsid w:val="00172A27"/>
    <w:rsid w:val="00175A4B"/>
    <w:rsid w:val="00187D0A"/>
    <w:rsid w:val="00197887"/>
    <w:rsid w:val="001B760F"/>
    <w:rsid w:val="001D2057"/>
    <w:rsid w:val="001D7A65"/>
    <w:rsid w:val="001E1046"/>
    <w:rsid w:val="001F0A89"/>
    <w:rsid w:val="002013F3"/>
    <w:rsid w:val="0020411C"/>
    <w:rsid w:val="00205297"/>
    <w:rsid w:val="00206E42"/>
    <w:rsid w:val="00210403"/>
    <w:rsid w:val="00210426"/>
    <w:rsid w:val="002216DD"/>
    <w:rsid w:val="00222A39"/>
    <w:rsid w:val="00232679"/>
    <w:rsid w:val="00235542"/>
    <w:rsid w:val="002412A6"/>
    <w:rsid w:val="002756BE"/>
    <w:rsid w:val="002A5CB0"/>
    <w:rsid w:val="002C3106"/>
    <w:rsid w:val="002F1593"/>
    <w:rsid w:val="002F2E38"/>
    <w:rsid w:val="00303AF7"/>
    <w:rsid w:val="00322A87"/>
    <w:rsid w:val="00323114"/>
    <w:rsid w:val="00323505"/>
    <w:rsid w:val="003329CB"/>
    <w:rsid w:val="00335B1D"/>
    <w:rsid w:val="00337305"/>
    <w:rsid w:val="003536DA"/>
    <w:rsid w:val="00370723"/>
    <w:rsid w:val="003761C2"/>
    <w:rsid w:val="003977BA"/>
    <w:rsid w:val="003A10F4"/>
    <w:rsid w:val="003A3677"/>
    <w:rsid w:val="003C1EDF"/>
    <w:rsid w:val="003C37CA"/>
    <w:rsid w:val="003D3B29"/>
    <w:rsid w:val="003E3598"/>
    <w:rsid w:val="00403C18"/>
    <w:rsid w:val="00411F45"/>
    <w:rsid w:val="004452A7"/>
    <w:rsid w:val="0045170B"/>
    <w:rsid w:val="0045263A"/>
    <w:rsid w:val="00460842"/>
    <w:rsid w:val="00465421"/>
    <w:rsid w:val="00475B9A"/>
    <w:rsid w:val="004814AF"/>
    <w:rsid w:val="0048427D"/>
    <w:rsid w:val="004A1995"/>
    <w:rsid w:val="004A2292"/>
    <w:rsid w:val="004A647F"/>
    <w:rsid w:val="004A7FF3"/>
    <w:rsid w:val="004B06D2"/>
    <w:rsid w:val="004B2F53"/>
    <w:rsid w:val="004B3B05"/>
    <w:rsid w:val="004B5930"/>
    <w:rsid w:val="004B671C"/>
    <w:rsid w:val="004C5329"/>
    <w:rsid w:val="004C568A"/>
    <w:rsid w:val="004C78D0"/>
    <w:rsid w:val="004D56CD"/>
    <w:rsid w:val="004F7996"/>
    <w:rsid w:val="005017CF"/>
    <w:rsid w:val="005026DD"/>
    <w:rsid w:val="005074A1"/>
    <w:rsid w:val="0054095B"/>
    <w:rsid w:val="00540965"/>
    <w:rsid w:val="00541108"/>
    <w:rsid w:val="005544C8"/>
    <w:rsid w:val="00575784"/>
    <w:rsid w:val="00585202"/>
    <w:rsid w:val="005D063B"/>
    <w:rsid w:val="005D5E36"/>
    <w:rsid w:val="005D7C56"/>
    <w:rsid w:val="005F5C6A"/>
    <w:rsid w:val="005F5CC2"/>
    <w:rsid w:val="00606AF2"/>
    <w:rsid w:val="00616752"/>
    <w:rsid w:val="006211BB"/>
    <w:rsid w:val="0062637A"/>
    <w:rsid w:val="00636BF7"/>
    <w:rsid w:val="006606A9"/>
    <w:rsid w:val="006938F7"/>
    <w:rsid w:val="006E018C"/>
    <w:rsid w:val="006E05BE"/>
    <w:rsid w:val="007033F0"/>
    <w:rsid w:val="00720516"/>
    <w:rsid w:val="00722274"/>
    <w:rsid w:val="00725B51"/>
    <w:rsid w:val="00735921"/>
    <w:rsid w:val="007362D5"/>
    <w:rsid w:val="007401D1"/>
    <w:rsid w:val="007467C7"/>
    <w:rsid w:val="00757257"/>
    <w:rsid w:val="00774907"/>
    <w:rsid w:val="00793890"/>
    <w:rsid w:val="00795A2D"/>
    <w:rsid w:val="007973EC"/>
    <w:rsid w:val="007A5060"/>
    <w:rsid w:val="007D2D94"/>
    <w:rsid w:val="007E1387"/>
    <w:rsid w:val="007F27CB"/>
    <w:rsid w:val="00805866"/>
    <w:rsid w:val="00816D50"/>
    <w:rsid w:val="008221CD"/>
    <w:rsid w:val="00842624"/>
    <w:rsid w:val="0084422F"/>
    <w:rsid w:val="00856790"/>
    <w:rsid w:val="008625C9"/>
    <w:rsid w:val="00872A41"/>
    <w:rsid w:val="008744C2"/>
    <w:rsid w:val="00894C01"/>
    <w:rsid w:val="00895AD6"/>
    <w:rsid w:val="008A1463"/>
    <w:rsid w:val="008B0E51"/>
    <w:rsid w:val="008B1C5E"/>
    <w:rsid w:val="008B26D8"/>
    <w:rsid w:val="008E021C"/>
    <w:rsid w:val="008F53EB"/>
    <w:rsid w:val="00907EA2"/>
    <w:rsid w:val="00915069"/>
    <w:rsid w:val="00916F66"/>
    <w:rsid w:val="00935410"/>
    <w:rsid w:val="009532CD"/>
    <w:rsid w:val="00954FC6"/>
    <w:rsid w:val="009619E5"/>
    <w:rsid w:val="00971476"/>
    <w:rsid w:val="009818E3"/>
    <w:rsid w:val="00984DD5"/>
    <w:rsid w:val="009A2107"/>
    <w:rsid w:val="009C038B"/>
    <w:rsid w:val="009E20AB"/>
    <w:rsid w:val="009E3DDD"/>
    <w:rsid w:val="009E6AD4"/>
    <w:rsid w:val="009F3C8B"/>
    <w:rsid w:val="00A06469"/>
    <w:rsid w:val="00A1162B"/>
    <w:rsid w:val="00A20918"/>
    <w:rsid w:val="00A65322"/>
    <w:rsid w:val="00A75CD7"/>
    <w:rsid w:val="00AA73D7"/>
    <w:rsid w:val="00AB65F3"/>
    <w:rsid w:val="00AC5E5C"/>
    <w:rsid w:val="00AC77A5"/>
    <w:rsid w:val="00AD19C0"/>
    <w:rsid w:val="00AE3329"/>
    <w:rsid w:val="00B003FC"/>
    <w:rsid w:val="00B1319E"/>
    <w:rsid w:val="00B20ED6"/>
    <w:rsid w:val="00B24845"/>
    <w:rsid w:val="00B3076C"/>
    <w:rsid w:val="00B37DA4"/>
    <w:rsid w:val="00B403B9"/>
    <w:rsid w:val="00B62BFF"/>
    <w:rsid w:val="00B73BFD"/>
    <w:rsid w:val="00B74E53"/>
    <w:rsid w:val="00B817AA"/>
    <w:rsid w:val="00B8211B"/>
    <w:rsid w:val="00B97122"/>
    <w:rsid w:val="00BB3407"/>
    <w:rsid w:val="00BB3758"/>
    <w:rsid w:val="00BB5B2B"/>
    <w:rsid w:val="00BC10DE"/>
    <w:rsid w:val="00BC550C"/>
    <w:rsid w:val="00BC5E46"/>
    <w:rsid w:val="00BE128B"/>
    <w:rsid w:val="00C01E00"/>
    <w:rsid w:val="00C0346E"/>
    <w:rsid w:val="00C0442E"/>
    <w:rsid w:val="00C05C8C"/>
    <w:rsid w:val="00C14B91"/>
    <w:rsid w:val="00C31CA1"/>
    <w:rsid w:val="00C53DBB"/>
    <w:rsid w:val="00C63DD8"/>
    <w:rsid w:val="00C674AB"/>
    <w:rsid w:val="00C90291"/>
    <w:rsid w:val="00CB197E"/>
    <w:rsid w:val="00CE7F04"/>
    <w:rsid w:val="00CF6D23"/>
    <w:rsid w:val="00D049BB"/>
    <w:rsid w:val="00D1198B"/>
    <w:rsid w:val="00D24703"/>
    <w:rsid w:val="00D25930"/>
    <w:rsid w:val="00D40A65"/>
    <w:rsid w:val="00D562EF"/>
    <w:rsid w:val="00D96885"/>
    <w:rsid w:val="00DB44C6"/>
    <w:rsid w:val="00DC5CC7"/>
    <w:rsid w:val="00DE77CA"/>
    <w:rsid w:val="00E05D53"/>
    <w:rsid w:val="00E22AB4"/>
    <w:rsid w:val="00E23034"/>
    <w:rsid w:val="00E261E8"/>
    <w:rsid w:val="00E366D7"/>
    <w:rsid w:val="00E43B6C"/>
    <w:rsid w:val="00E46AD2"/>
    <w:rsid w:val="00E6036B"/>
    <w:rsid w:val="00E70901"/>
    <w:rsid w:val="00E807A1"/>
    <w:rsid w:val="00E812EB"/>
    <w:rsid w:val="00E817EA"/>
    <w:rsid w:val="00E82F5B"/>
    <w:rsid w:val="00E93D3E"/>
    <w:rsid w:val="00E94751"/>
    <w:rsid w:val="00EA097B"/>
    <w:rsid w:val="00ED6899"/>
    <w:rsid w:val="00EE5AC4"/>
    <w:rsid w:val="00F100B8"/>
    <w:rsid w:val="00F12D3F"/>
    <w:rsid w:val="00F358D5"/>
    <w:rsid w:val="00F3648E"/>
    <w:rsid w:val="00F44F67"/>
    <w:rsid w:val="00F4782A"/>
    <w:rsid w:val="00F714E2"/>
    <w:rsid w:val="00F84AF1"/>
    <w:rsid w:val="00F91859"/>
    <w:rsid w:val="00F93EA7"/>
    <w:rsid w:val="00F97A19"/>
    <w:rsid w:val="00FA1B80"/>
    <w:rsid w:val="00FA4561"/>
    <w:rsid w:val="00FA4AB3"/>
    <w:rsid w:val="00FB1122"/>
    <w:rsid w:val="00FE7C0C"/>
    <w:rsid w:val="00FF0FF8"/>
    <w:rsid w:val="00FF4F01"/>
    <w:rsid w:val="00FF6248"/>
    <w:rsid w:val="0147153B"/>
    <w:rsid w:val="01527EDF"/>
    <w:rsid w:val="01583748"/>
    <w:rsid w:val="015B6D94"/>
    <w:rsid w:val="01D95F0B"/>
    <w:rsid w:val="01F149BF"/>
    <w:rsid w:val="01F36FCC"/>
    <w:rsid w:val="02511F45"/>
    <w:rsid w:val="02B96468"/>
    <w:rsid w:val="031E25A9"/>
    <w:rsid w:val="0321400D"/>
    <w:rsid w:val="0341020B"/>
    <w:rsid w:val="03A52548"/>
    <w:rsid w:val="03C54999"/>
    <w:rsid w:val="03D746CC"/>
    <w:rsid w:val="040354C1"/>
    <w:rsid w:val="0434627F"/>
    <w:rsid w:val="049946BB"/>
    <w:rsid w:val="04AE18D1"/>
    <w:rsid w:val="04FA4B16"/>
    <w:rsid w:val="05452B81"/>
    <w:rsid w:val="05545FD4"/>
    <w:rsid w:val="05600E1D"/>
    <w:rsid w:val="05DE7F94"/>
    <w:rsid w:val="05F11A75"/>
    <w:rsid w:val="063D5DFE"/>
    <w:rsid w:val="0645561C"/>
    <w:rsid w:val="067601CC"/>
    <w:rsid w:val="06AC1E40"/>
    <w:rsid w:val="06BC02D5"/>
    <w:rsid w:val="06CB49BC"/>
    <w:rsid w:val="06D27AF8"/>
    <w:rsid w:val="06F7755F"/>
    <w:rsid w:val="071677CB"/>
    <w:rsid w:val="071F0864"/>
    <w:rsid w:val="0730481F"/>
    <w:rsid w:val="07697D31"/>
    <w:rsid w:val="07893F2F"/>
    <w:rsid w:val="07C84A57"/>
    <w:rsid w:val="07EA2C20"/>
    <w:rsid w:val="081B727D"/>
    <w:rsid w:val="0842480A"/>
    <w:rsid w:val="089E3A0A"/>
    <w:rsid w:val="08A454C4"/>
    <w:rsid w:val="08BB45BC"/>
    <w:rsid w:val="09105F27"/>
    <w:rsid w:val="093A1E45"/>
    <w:rsid w:val="09581E0B"/>
    <w:rsid w:val="09ED6280"/>
    <w:rsid w:val="0A0855DF"/>
    <w:rsid w:val="0A3960E0"/>
    <w:rsid w:val="0A590531"/>
    <w:rsid w:val="0AA479FE"/>
    <w:rsid w:val="0AE0655C"/>
    <w:rsid w:val="0B0158A6"/>
    <w:rsid w:val="0B21104E"/>
    <w:rsid w:val="0B440899"/>
    <w:rsid w:val="0B5807E8"/>
    <w:rsid w:val="0B64718D"/>
    <w:rsid w:val="0B666A61"/>
    <w:rsid w:val="0B9A2BAF"/>
    <w:rsid w:val="0BD25349"/>
    <w:rsid w:val="0BFF2A12"/>
    <w:rsid w:val="0C000C64"/>
    <w:rsid w:val="0C6B3842"/>
    <w:rsid w:val="0C8F3D96"/>
    <w:rsid w:val="0C915D60"/>
    <w:rsid w:val="0CBF2F71"/>
    <w:rsid w:val="0D0E46F8"/>
    <w:rsid w:val="0D246BD4"/>
    <w:rsid w:val="0D4C7ED9"/>
    <w:rsid w:val="0D865199"/>
    <w:rsid w:val="0D870F11"/>
    <w:rsid w:val="0DC363ED"/>
    <w:rsid w:val="0DED433C"/>
    <w:rsid w:val="0DF26CD2"/>
    <w:rsid w:val="0E122ED0"/>
    <w:rsid w:val="0E1924B1"/>
    <w:rsid w:val="0E460DCC"/>
    <w:rsid w:val="0E6F20D1"/>
    <w:rsid w:val="0EAB5FDF"/>
    <w:rsid w:val="0F29227F"/>
    <w:rsid w:val="0F3B0205"/>
    <w:rsid w:val="0F470958"/>
    <w:rsid w:val="0FBF01F3"/>
    <w:rsid w:val="0FC1070A"/>
    <w:rsid w:val="10190546"/>
    <w:rsid w:val="102E1B18"/>
    <w:rsid w:val="10664CAB"/>
    <w:rsid w:val="110B5BB3"/>
    <w:rsid w:val="110C07A8"/>
    <w:rsid w:val="111B209C"/>
    <w:rsid w:val="112A22DF"/>
    <w:rsid w:val="114710E3"/>
    <w:rsid w:val="11CC3396"/>
    <w:rsid w:val="127E656E"/>
    <w:rsid w:val="12C34799"/>
    <w:rsid w:val="138D1D96"/>
    <w:rsid w:val="138F2C10"/>
    <w:rsid w:val="13FB0A59"/>
    <w:rsid w:val="14092680"/>
    <w:rsid w:val="143050D5"/>
    <w:rsid w:val="143F60A1"/>
    <w:rsid w:val="148A01A3"/>
    <w:rsid w:val="14A30D26"/>
    <w:rsid w:val="1512667E"/>
    <w:rsid w:val="15155054"/>
    <w:rsid w:val="156E5B1C"/>
    <w:rsid w:val="15787ABD"/>
    <w:rsid w:val="15D76B54"/>
    <w:rsid w:val="16302145"/>
    <w:rsid w:val="1699418F"/>
    <w:rsid w:val="16C64858"/>
    <w:rsid w:val="16FE788D"/>
    <w:rsid w:val="176C116A"/>
    <w:rsid w:val="177C44D6"/>
    <w:rsid w:val="17B46DA6"/>
    <w:rsid w:val="1804388A"/>
    <w:rsid w:val="180715CC"/>
    <w:rsid w:val="1833416F"/>
    <w:rsid w:val="189810E3"/>
    <w:rsid w:val="19375D0B"/>
    <w:rsid w:val="1947020C"/>
    <w:rsid w:val="19793E03"/>
    <w:rsid w:val="19BE3F0C"/>
    <w:rsid w:val="19EE9493"/>
    <w:rsid w:val="1A4C1518"/>
    <w:rsid w:val="1A91517D"/>
    <w:rsid w:val="1AB81C71"/>
    <w:rsid w:val="1ADC6D40"/>
    <w:rsid w:val="1B4F7512"/>
    <w:rsid w:val="1BA64C58"/>
    <w:rsid w:val="1BDE6861"/>
    <w:rsid w:val="1C200EAE"/>
    <w:rsid w:val="1C8A6328"/>
    <w:rsid w:val="1C9222D7"/>
    <w:rsid w:val="1CD53A47"/>
    <w:rsid w:val="1CE372A4"/>
    <w:rsid w:val="1D50131F"/>
    <w:rsid w:val="1D6810F6"/>
    <w:rsid w:val="1D976F4E"/>
    <w:rsid w:val="1DA358F3"/>
    <w:rsid w:val="1DB13FB4"/>
    <w:rsid w:val="1DB4365C"/>
    <w:rsid w:val="1DDE2DCF"/>
    <w:rsid w:val="1E2D4B5C"/>
    <w:rsid w:val="1E3B2B55"/>
    <w:rsid w:val="1E674B72"/>
    <w:rsid w:val="1EA85162"/>
    <w:rsid w:val="1EF1268E"/>
    <w:rsid w:val="1F3A2287"/>
    <w:rsid w:val="1FB95A8F"/>
    <w:rsid w:val="1FC87893"/>
    <w:rsid w:val="1FDB053D"/>
    <w:rsid w:val="20547378"/>
    <w:rsid w:val="20607ACB"/>
    <w:rsid w:val="2063798C"/>
    <w:rsid w:val="20992FDD"/>
    <w:rsid w:val="20C53DD2"/>
    <w:rsid w:val="20D91ACA"/>
    <w:rsid w:val="20DA5ACF"/>
    <w:rsid w:val="20E744F1"/>
    <w:rsid w:val="216C47A8"/>
    <w:rsid w:val="21B26104"/>
    <w:rsid w:val="2210107D"/>
    <w:rsid w:val="221F0585"/>
    <w:rsid w:val="226B2757"/>
    <w:rsid w:val="226C73CF"/>
    <w:rsid w:val="227246D9"/>
    <w:rsid w:val="22AB3909"/>
    <w:rsid w:val="22D327D6"/>
    <w:rsid w:val="231E16C7"/>
    <w:rsid w:val="231F6A45"/>
    <w:rsid w:val="23E10F23"/>
    <w:rsid w:val="23EA427B"/>
    <w:rsid w:val="24203373"/>
    <w:rsid w:val="242D4168"/>
    <w:rsid w:val="245032CF"/>
    <w:rsid w:val="24806967"/>
    <w:rsid w:val="24A2380B"/>
    <w:rsid w:val="24D22209"/>
    <w:rsid w:val="25057B4A"/>
    <w:rsid w:val="2527650E"/>
    <w:rsid w:val="252A182A"/>
    <w:rsid w:val="25553977"/>
    <w:rsid w:val="257D58F9"/>
    <w:rsid w:val="25B14925"/>
    <w:rsid w:val="25BEE894"/>
    <w:rsid w:val="25BF31C0"/>
    <w:rsid w:val="25BF34E6"/>
    <w:rsid w:val="25D725DE"/>
    <w:rsid w:val="25E60A73"/>
    <w:rsid w:val="26415CA9"/>
    <w:rsid w:val="26A86F43"/>
    <w:rsid w:val="26DB60FD"/>
    <w:rsid w:val="27280C17"/>
    <w:rsid w:val="274A6DDF"/>
    <w:rsid w:val="277D5407"/>
    <w:rsid w:val="27A665A6"/>
    <w:rsid w:val="27D74B17"/>
    <w:rsid w:val="282B7B14"/>
    <w:rsid w:val="2846353B"/>
    <w:rsid w:val="289A34EF"/>
    <w:rsid w:val="28DC615D"/>
    <w:rsid w:val="28E04AA5"/>
    <w:rsid w:val="28FA7031"/>
    <w:rsid w:val="291D4652"/>
    <w:rsid w:val="294E32A1"/>
    <w:rsid w:val="296F6FD1"/>
    <w:rsid w:val="2A187669"/>
    <w:rsid w:val="2A2B114A"/>
    <w:rsid w:val="2A4144C9"/>
    <w:rsid w:val="2A76062B"/>
    <w:rsid w:val="2A960096"/>
    <w:rsid w:val="2AD52E64"/>
    <w:rsid w:val="2BB46F1D"/>
    <w:rsid w:val="2C9F197B"/>
    <w:rsid w:val="2CA13945"/>
    <w:rsid w:val="2CB25E33"/>
    <w:rsid w:val="2CFE3C1A"/>
    <w:rsid w:val="2D100C2E"/>
    <w:rsid w:val="2D70787B"/>
    <w:rsid w:val="2D76092E"/>
    <w:rsid w:val="2E0A72C8"/>
    <w:rsid w:val="2E4F6EFD"/>
    <w:rsid w:val="2E5A1FFE"/>
    <w:rsid w:val="2E6966E5"/>
    <w:rsid w:val="2E7FB412"/>
    <w:rsid w:val="2E8B21B7"/>
    <w:rsid w:val="2EB57234"/>
    <w:rsid w:val="2F2E6FE6"/>
    <w:rsid w:val="2F3E3521"/>
    <w:rsid w:val="2F3F4EDA"/>
    <w:rsid w:val="2F57653D"/>
    <w:rsid w:val="2F7470EF"/>
    <w:rsid w:val="2F7A74A1"/>
    <w:rsid w:val="30890A4E"/>
    <w:rsid w:val="308E5F8F"/>
    <w:rsid w:val="31480833"/>
    <w:rsid w:val="315A40C3"/>
    <w:rsid w:val="31682AFA"/>
    <w:rsid w:val="31684A32"/>
    <w:rsid w:val="31B4437F"/>
    <w:rsid w:val="31CB5F9D"/>
    <w:rsid w:val="31D73965"/>
    <w:rsid w:val="324C585D"/>
    <w:rsid w:val="32894C60"/>
    <w:rsid w:val="32C57C62"/>
    <w:rsid w:val="32F66DD2"/>
    <w:rsid w:val="331C5AD4"/>
    <w:rsid w:val="33400D8F"/>
    <w:rsid w:val="33C85C5B"/>
    <w:rsid w:val="33D4015C"/>
    <w:rsid w:val="34060532"/>
    <w:rsid w:val="341D7D55"/>
    <w:rsid w:val="34967B08"/>
    <w:rsid w:val="34DB551B"/>
    <w:rsid w:val="34FF745B"/>
    <w:rsid w:val="351C625F"/>
    <w:rsid w:val="3578720D"/>
    <w:rsid w:val="35843E04"/>
    <w:rsid w:val="3598340C"/>
    <w:rsid w:val="35AC4A89"/>
    <w:rsid w:val="35FC399A"/>
    <w:rsid w:val="3660217B"/>
    <w:rsid w:val="36615240"/>
    <w:rsid w:val="368052E1"/>
    <w:rsid w:val="36CC15BF"/>
    <w:rsid w:val="372E875E"/>
    <w:rsid w:val="37897610"/>
    <w:rsid w:val="378F55D2"/>
    <w:rsid w:val="37AA72D9"/>
    <w:rsid w:val="37C30C14"/>
    <w:rsid w:val="380B6117"/>
    <w:rsid w:val="383148A9"/>
    <w:rsid w:val="38B844F1"/>
    <w:rsid w:val="392A081F"/>
    <w:rsid w:val="39331DC9"/>
    <w:rsid w:val="39406294"/>
    <w:rsid w:val="395064D7"/>
    <w:rsid w:val="39BC591B"/>
    <w:rsid w:val="39C11183"/>
    <w:rsid w:val="39D55478"/>
    <w:rsid w:val="3A7601BF"/>
    <w:rsid w:val="3A7D0FA4"/>
    <w:rsid w:val="3AE37024"/>
    <w:rsid w:val="3B3836C7"/>
    <w:rsid w:val="3B903503"/>
    <w:rsid w:val="3B990B67"/>
    <w:rsid w:val="3BA047C1"/>
    <w:rsid w:val="3BFC2946"/>
    <w:rsid w:val="3C0161AE"/>
    <w:rsid w:val="3C33CB93"/>
    <w:rsid w:val="3C3A521C"/>
    <w:rsid w:val="3D015D3A"/>
    <w:rsid w:val="3D163594"/>
    <w:rsid w:val="3D2A703F"/>
    <w:rsid w:val="3D3D3216"/>
    <w:rsid w:val="3D5D6282"/>
    <w:rsid w:val="3D78424E"/>
    <w:rsid w:val="3D85696B"/>
    <w:rsid w:val="3DCE48FC"/>
    <w:rsid w:val="3E23240C"/>
    <w:rsid w:val="3EB23790"/>
    <w:rsid w:val="3EBE2266"/>
    <w:rsid w:val="3F3B5533"/>
    <w:rsid w:val="3F63180D"/>
    <w:rsid w:val="3F634A8A"/>
    <w:rsid w:val="402551A3"/>
    <w:rsid w:val="405737B8"/>
    <w:rsid w:val="40EB2F89"/>
    <w:rsid w:val="410F6C78"/>
    <w:rsid w:val="41CE268F"/>
    <w:rsid w:val="423050F8"/>
    <w:rsid w:val="42B0448A"/>
    <w:rsid w:val="42B15E84"/>
    <w:rsid w:val="42CE66BF"/>
    <w:rsid w:val="42D24401"/>
    <w:rsid w:val="42FF4ACA"/>
    <w:rsid w:val="432639DA"/>
    <w:rsid w:val="43302ED5"/>
    <w:rsid w:val="43432C09"/>
    <w:rsid w:val="437ECBB6"/>
    <w:rsid w:val="43FF36F2"/>
    <w:rsid w:val="44004F9E"/>
    <w:rsid w:val="441822E7"/>
    <w:rsid w:val="44ED72D0"/>
    <w:rsid w:val="44F7014F"/>
    <w:rsid w:val="44FC5765"/>
    <w:rsid w:val="451231DA"/>
    <w:rsid w:val="452751F6"/>
    <w:rsid w:val="45486BFC"/>
    <w:rsid w:val="455B086E"/>
    <w:rsid w:val="456F5A7E"/>
    <w:rsid w:val="45831E32"/>
    <w:rsid w:val="45C1250B"/>
    <w:rsid w:val="45C83899"/>
    <w:rsid w:val="467C4DAF"/>
    <w:rsid w:val="46DA7D28"/>
    <w:rsid w:val="46F56910"/>
    <w:rsid w:val="476C6C71"/>
    <w:rsid w:val="479A5786"/>
    <w:rsid w:val="48011BC0"/>
    <w:rsid w:val="480212E4"/>
    <w:rsid w:val="481B05F8"/>
    <w:rsid w:val="48451C0C"/>
    <w:rsid w:val="48594C7C"/>
    <w:rsid w:val="487808A5"/>
    <w:rsid w:val="48D367DD"/>
    <w:rsid w:val="48E924A4"/>
    <w:rsid w:val="493059DD"/>
    <w:rsid w:val="49D96075"/>
    <w:rsid w:val="49E669E4"/>
    <w:rsid w:val="49F982E6"/>
    <w:rsid w:val="4A3E237C"/>
    <w:rsid w:val="4A5B0444"/>
    <w:rsid w:val="4A7F7D73"/>
    <w:rsid w:val="4AAF6DD6"/>
    <w:rsid w:val="4AB8212E"/>
    <w:rsid w:val="4AC24D5B"/>
    <w:rsid w:val="4ADC14A7"/>
    <w:rsid w:val="4AE922E8"/>
    <w:rsid w:val="4BA32DDE"/>
    <w:rsid w:val="4BE8776C"/>
    <w:rsid w:val="4BF74ED8"/>
    <w:rsid w:val="4C121C88"/>
    <w:rsid w:val="4C7B1665"/>
    <w:rsid w:val="4CBD57DA"/>
    <w:rsid w:val="4D477799"/>
    <w:rsid w:val="4D7A191D"/>
    <w:rsid w:val="4E241889"/>
    <w:rsid w:val="4E2E44B5"/>
    <w:rsid w:val="4EB40E5E"/>
    <w:rsid w:val="4ED4505D"/>
    <w:rsid w:val="4EDBBD2D"/>
    <w:rsid w:val="4F3F2E1E"/>
    <w:rsid w:val="4F52414B"/>
    <w:rsid w:val="4F55619D"/>
    <w:rsid w:val="4F5B752C"/>
    <w:rsid w:val="4F5EA67A"/>
    <w:rsid w:val="4FC155E1"/>
    <w:rsid w:val="4FCA0F9D"/>
    <w:rsid w:val="4FF7F1E3"/>
    <w:rsid w:val="4FFC2C55"/>
    <w:rsid w:val="50146059"/>
    <w:rsid w:val="506A211C"/>
    <w:rsid w:val="509E5922"/>
    <w:rsid w:val="50ADCD79"/>
    <w:rsid w:val="50DC0C8A"/>
    <w:rsid w:val="50E13A61"/>
    <w:rsid w:val="50E366A5"/>
    <w:rsid w:val="51B55619"/>
    <w:rsid w:val="51BD5A4C"/>
    <w:rsid w:val="520B348B"/>
    <w:rsid w:val="5276691C"/>
    <w:rsid w:val="52D148CC"/>
    <w:rsid w:val="52E430E2"/>
    <w:rsid w:val="533E519B"/>
    <w:rsid w:val="53A70F92"/>
    <w:rsid w:val="53B84F4D"/>
    <w:rsid w:val="53D30FCF"/>
    <w:rsid w:val="53FEDCC3"/>
    <w:rsid w:val="54065CB8"/>
    <w:rsid w:val="54297BF9"/>
    <w:rsid w:val="542B1BC3"/>
    <w:rsid w:val="553920BD"/>
    <w:rsid w:val="55945546"/>
    <w:rsid w:val="55AE6607"/>
    <w:rsid w:val="55C776C9"/>
    <w:rsid w:val="561D553B"/>
    <w:rsid w:val="561F5757"/>
    <w:rsid w:val="56811F6E"/>
    <w:rsid w:val="56A1616C"/>
    <w:rsid w:val="56A417B8"/>
    <w:rsid w:val="56C9121F"/>
    <w:rsid w:val="56F94C38"/>
    <w:rsid w:val="5705494D"/>
    <w:rsid w:val="574014E1"/>
    <w:rsid w:val="57460AC2"/>
    <w:rsid w:val="576D2A2D"/>
    <w:rsid w:val="57877110"/>
    <w:rsid w:val="57E502DB"/>
    <w:rsid w:val="58194A18"/>
    <w:rsid w:val="581B1F4E"/>
    <w:rsid w:val="58466FCB"/>
    <w:rsid w:val="58C46142"/>
    <w:rsid w:val="58D04AE7"/>
    <w:rsid w:val="592117E6"/>
    <w:rsid w:val="593432C8"/>
    <w:rsid w:val="594E05DC"/>
    <w:rsid w:val="599F479F"/>
    <w:rsid w:val="59AC3230"/>
    <w:rsid w:val="59D64DC3"/>
    <w:rsid w:val="5A4F5EDF"/>
    <w:rsid w:val="5A7C9058"/>
    <w:rsid w:val="5ABC3575"/>
    <w:rsid w:val="5B3E21DC"/>
    <w:rsid w:val="5B3F654F"/>
    <w:rsid w:val="5B590DC3"/>
    <w:rsid w:val="5B9E0ECC"/>
    <w:rsid w:val="5BAA5AC3"/>
    <w:rsid w:val="5BD4669C"/>
    <w:rsid w:val="5BDD7D93"/>
    <w:rsid w:val="5C545A2F"/>
    <w:rsid w:val="5C782456"/>
    <w:rsid w:val="5C8956D8"/>
    <w:rsid w:val="5D2D4B78"/>
    <w:rsid w:val="5D5E4DB7"/>
    <w:rsid w:val="5D997B9D"/>
    <w:rsid w:val="5DA402F0"/>
    <w:rsid w:val="5DBF512A"/>
    <w:rsid w:val="5DDF4673"/>
    <w:rsid w:val="5DEA21A7"/>
    <w:rsid w:val="5E317DD6"/>
    <w:rsid w:val="5E831EBF"/>
    <w:rsid w:val="5EAF1558"/>
    <w:rsid w:val="5EC78081"/>
    <w:rsid w:val="5EFF1C82"/>
    <w:rsid w:val="5F41673E"/>
    <w:rsid w:val="5F554FEC"/>
    <w:rsid w:val="5F9C1BC7"/>
    <w:rsid w:val="6017124D"/>
    <w:rsid w:val="603911C4"/>
    <w:rsid w:val="603E4A2C"/>
    <w:rsid w:val="603E67DA"/>
    <w:rsid w:val="606E3563"/>
    <w:rsid w:val="608368E3"/>
    <w:rsid w:val="60CE7B5E"/>
    <w:rsid w:val="61016185"/>
    <w:rsid w:val="61330309"/>
    <w:rsid w:val="61761FA3"/>
    <w:rsid w:val="61BB5763"/>
    <w:rsid w:val="61C251E9"/>
    <w:rsid w:val="623936FD"/>
    <w:rsid w:val="62514EEA"/>
    <w:rsid w:val="6271498F"/>
    <w:rsid w:val="62791D4B"/>
    <w:rsid w:val="627D52AB"/>
    <w:rsid w:val="62922D69"/>
    <w:rsid w:val="62B2022E"/>
    <w:rsid w:val="62D41677"/>
    <w:rsid w:val="62D84CC4"/>
    <w:rsid w:val="62FF3833"/>
    <w:rsid w:val="63350368"/>
    <w:rsid w:val="63952EE1"/>
    <w:rsid w:val="63DAE370"/>
    <w:rsid w:val="64201EC1"/>
    <w:rsid w:val="642D7291"/>
    <w:rsid w:val="643D5FE8"/>
    <w:rsid w:val="645E744B"/>
    <w:rsid w:val="64670901"/>
    <w:rsid w:val="64A84B6A"/>
    <w:rsid w:val="64AF72DC"/>
    <w:rsid w:val="64C71494"/>
    <w:rsid w:val="65A76BCF"/>
    <w:rsid w:val="65AE4402"/>
    <w:rsid w:val="65FD2C93"/>
    <w:rsid w:val="66157FDD"/>
    <w:rsid w:val="662621EA"/>
    <w:rsid w:val="662A7F2C"/>
    <w:rsid w:val="663F32AC"/>
    <w:rsid w:val="66756CCD"/>
    <w:rsid w:val="66815672"/>
    <w:rsid w:val="668F1B3D"/>
    <w:rsid w:val="66F67E0E"/>
    <w:rsid w:val="67281235"/>
    <w:rsid w:val="675D1B9D"/>
    <w:rsid w:val="679F4002"/>
    <w:rsid w:val="67A1421E"/>
    <w:rsid w:val="67A21D44"/>
    <w:rsid w:val="67DA7730"/>
    <w:rsid w:val="689E3510"/>
    <w:rsid w:val="68B24209"/>
    <w:rsid w:val="68B3144C"/>
    <w:rsid w:val="68BE2BAE"/>
    <w:rsid w:val="68D5305B"/>
    <w:rsid w:val="69023BD5"/>
    <w:rsid w:val="69085BD7"/>
    <w:rsid w:val="69232A11"/>
    <w:rsid w:val="694110E9"/>
    <w:rsid w:val="69564B94"/>
    <w:rsid w:val="69894F6A"/>
    <w:rsid w:val="69A22811"/>
    <w:rsid w:val="69BF6BDD"/>
    <w:rsid w:val="69DE389D"/>
    <w:rsid w:val="6A0C7949"/>
    <w:rsid w:val="6A67019F"/>
    <w:rsid w:val="6A845731"/>
    <w:rsid w:val="6AA30860"/>
    <w:rsid w:val="6AB51D8E"/>
    <w:rsid w:val="6B0845B4"/>
    <w:rsid w:val="6B7D28AC"/>
    <w:rsid w:val="6B811C71"/>
    <w:rsid w:val="6BA77929"/>
    <w:rsid w:val="6BC24763"/>
    <w:rsid w:val="6BE742B4"/>
    <w:rsid w:val="6C133210"/>
    <w:rsid w:val="6C186A79"/>
    <w:rsid w:val="6C20148A"/>
    <w:rsid w:val="6C5C4BB7"/>
    <w:rsid w:val="6C627CF4"/>
    <w:rsid w:val="6C77554D"/>
    <w:rsid w:val="6C871D5A"/>
    <w:rsid w:val="6C9C1458"/>
    <w:rsid w:val="6C9D13FB"/>
    <w:rsid w:val="6CAD26D2"/>
    <w:rsid w:val="6CED30B0"/>
    <w:rsid w:val="6D185F54"/>
    <w:rsid w:val="6D547772"/>
    <w:rsid w:val="6D5D0BE7"/>
    <w:rsid w:val="6DBFA481"/>
    <w:rsid w:val="6DC04CD2"/>
    <w:rsid w:val="6DDB5FB0"/>
    <w:rsid w:val="6DDB7D5E"/>
    <w:rsid w:val="6DEE183F"/>
    <w:rsid w:val="6DFB1710"/>
    <w:rsid w:val="6E012760"/>
    <w:rsid w:val="6F0B01CF"/>
    <w:rsid w:val="6F345978"/>
    <w:rsid w:val="6F5002D8"/>
    <w:rsid w:val="6FCA008A"/>
    <w:rsid w:val="6FE02FF7"/>
    <w:rsid w:val="6FFF75D8"/>
    <w:rsid w:val="70637EFF"/>
    <w:rsid w:val="70657DB3"/>
    <w:rsid w:val="70974410"/>
    <w:rsid w:val="70BD374B"/>
    <w:rsid w:val="70C150BF"/>
    <w:rsid w:val="70C26FB3"/>
    <w:rsid w:val="70D867D7"/>
    <w:rsid w:val="70EB650A"/>
    <w:rsid w:val="711F7F62"/>
    <w:rsid w:val="71696DF2"/>
    <w:rsid w:val="71AE3D7E"/>
    <w:rsid w:val="71D21478"/>
    <w:rsid w:val="72563E57"/>
    <w:rsid w:val="72C25048"/>
    <w:rsid w:val="730E4732"/>
    <w:rsid w:val="736AB18A"/>
    <w:rsid w:val="73780BB9"/>
    <w:rsid w:val="73D7984B"/>
    <w:rsid w:val="73DF4D94"/>
    <w:rsid w:val="73E05929"/>
    <w:rsid w:val="73FBA8AE"/>
    <w:rsid w:val="749D3837"/>
    <w:rsid w:val="74AC4208"/>
    <w:rsid w:val="74FFF38E"/>
    <w:rsid w:val="758D3181"/>
    <w:rsid w:val="759F78C3"/>
    <w:rsid w:val="75B90985"/>
    <w:rsid w:val="75BB5674"/>
    <w:rsid w:val="75E36DEC"/>
    <w:rsid w:val="75F34C53"/>
    <w:rsid w:val="762322A2"/>
    <w:rsid w:val="763C3364"/>
    <w:rsid w:val="7662726E"/>
    <w:rsid w:val="76942021"/>
    <w:rsid w:val="76E00193"/>
    <w:rsid w:val="76F61765"/>
    <w:rsid w:val="77040325"/>
    <w:rsid w:val="7734CF24"/>
    <w:rsid w:val="77456153"/>
    <w:rsid w:val="77530965"/>
    <w:rsid w:val="775BC9C2"/>
    <w:rsid w:val="779001B2"/>
    <w:rsid w:val="77976AA4"/>
    <w:rsid w:val="77A9EB82"/>
    <w:rsid w:val="77D9530E"/>
    <w:rsid w:val="77E254BB"/>
    <w:rsid w:val="77E9BF83"/>
    <w:rsid w:val="78306EF8"/>
    <w:rsid w:val="78344F69"/>
    <w:rsid w:val="78411105"/>
    <w:rsid w:val="78455A85"/>
    <w:rsid w:val="7880578A"/>
    <w:rsid w:val="78AA4F60"/>
    <w:rsid w:val="78B90C9C"/>
    <w:rsid w:val="78F61EF0"/>
    <w:rsid w:val="791505C8"/>
    <w:rsid w:val="79167E9C"/>
    <w:rsid w:val="791D747D"/>
    <w:rsid w:val="793F5645"/>
    <w:rsid w:val="797D616D"/>
    <w:rsid w:val="799512AE"/>
    <w:rsid w:val="79FDD93E"/>
    <w:rsid w:val="7A124B07"/>
    <w:rsid w:val="7A46064F"/>
    <w:rsid w:val="7A8D0632"/>
    <w:rsid w:val="7A9B2D4F"/>
    <w:rsid w:val="7AA79D3C"/>
    <w:rsid w:val="7AB026C8"/>
    <w:rsid w:val="7B4231CA"/>
    <w:rsid w:val="7B5A49B8"/>
    <w:rsid w:val="7B7F9FEC"/>
    <w:rsid w:val="7B86755B"/>
    <w:rsid w:val="7BD52972"/>
    <w:rsid w:val="7BFE256A"/>
    <w:rsid w:val="7C2D79D7"/>
    <w:rsid w:val="7C444D20"/>
    <w:rsid w:val="7C6C6419"/>
    <w:rsid w:val="7CAA1027"/>
    <w:rsid w:val="7D0726D0"/>
    <w:rsid w:val="7D1B3CD3"/>
    <w:rsid w:val="7D284642"/>
    <w:rsid w:val="7D39684F"/>
    <w:rsid w:val="7D596320"/>
    <w:rsid w:val="7D5F28CE"/>
    <w:rsid w:val="7D823D52"/>
    <w:rsid w:val="7DFFC470"/>
    <w:rsid w:val="7E097FCF"/>
    <w:rsid w:val="7E33329E"/>
    <w:rsid w:val="7E6478FC"/>
    <w:rsid w:val="7E6E237D"/>
    <w:rsid w:val="7E7F64E4"/>
    <w:rsid w:val="7E906943"/>
    <w:rsid w:val="7EC9775F"/>
    <w:rsid w:val="7ECA3C03"/>
    <w:rsid w:val="7EF70770"/>
    <w:rsid w:val="7F4219EB"/>
    <w:rsid w:val="7F5E8B6F"/>
    <w:rsid w:val="7F7973D7"/>
    <w:rsid w:val="7F947D6D"/>
    <w:rsid w:val="7F9E2999"/>
    <w:rsid w:val="7FA35AFE"/>
    <w:rsid w:val="7FAB3A34"/>
    <w:rsid w:val="7FB52E89"/>
    <w:rsid w:val="7FB70F72"/>
    <w:rsid w:val="7FD312D4"/>
    <w:rsid w:val="7FDFFF55"/>
    <w:rsid w:val="7FE72112"/>
    <w:rsid w:val="AEDE927D"/>
    <w:rsid w:val="B5DFCC65"/>
    <w:rsid w:val="B7BAB08C"/>
    <w:rsid w:val="B7FE8201"/>
    <w:rsid w:val="B8DC606D"/>
    <w:rsid w:val="BBF11CA3"/>
    <w:rsid w:val="BF6D8B10"/>
    <w:rsid w:val="BFDF824F"/>
    <w:rsid w:val="D2E38C70"/>
    <w:rsid w:val="D3FBB5AA"/>
    <w:rsid w:val="D697F952"/>
    <w:rsid w:val="DC758570"/>
    <w:rsid w:val="DCF56F6D"/>
    <w:rsid w:val="DEBE2551"/>
    <w:rsid w:val="DFDF3D9E"/>
    <w:rsid w:val="DFEF512C"/>
    <w:rsid w:val="DFFAB323"/>
    <w:rsid w:val="DFFC7863"/>
    <w:rsid w:val="E7F9F2CD"/>
    <w:rsid w:val="E8BFC526"/>
    <w:rsid w:val="EEBFA5B0"/>
    <w:rsid w:val="EEED37A8"/>
    <w:rsid w:val="EFDD6050"/>
    <w:rsid w:val="EFDFE174"/>
    <w:rsid w:val="EFFB3A67"/>
    <w:rsid w:val="F37708D5"/>
    <w:rsid w:val="F454C7A5"/>
    <w:rsid w:val="F6DF0560"/>
    <w:rsid w:val="F72F5CC7"/>
    <w:rsid w:val="F78CE3D0"/>
    <w:rsid w:val="FADEF1D3"/>
    <w:rsid w:val="FB3F21A0"/>
    <w:rsid w:val="FBF57330"/>
    <w:rsid w:val="FC67B3A1"/>
    <w:rsid w:val="FD1A939D"/>
    <w:rsid w:val="FDF2F852"/>
    <w:rsid w:val="FE6E3740"/>
    <w:rsid w:val="FEBFB2FF"/>
    <w:rsid w:val="FEDF076C"/>
    <w:rsid w:val="FF5F3141"/>
    <w:rsid w:val="FF8F5FE9"/>
    <w:rsid w:val="FF9D867F"/>
    <w:rsid w:val="FFDB5AE9"/>
    <w:rsid w:val="FFF721E3"/>
    <w:rsid w:val="FFFCFD12"/>
    <w:rsid w:val="FFFDFE78"/>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qFormat/>
    <w:uiPriority w:val="0"/>
    <w:pPr>
      <w:tabs>
        <w:tab w:val="left" w:pos="1128"/>
      </w:tabs>
      <w:spacing w:before="120"/>
      <w:ind w:left="1128" w:hanging="564"/>
      <w:outlineLvl w:val="2"/>
    </w:pPr>
    <w:rPr>
      <w:rFonts w:ascii="Times New Roman" w:hAnsi="Times New Roman" w:eastAsia="宋体" w:cs="Times New Roman"/>
      <w:sz w:val="24"/>
      <w:szCs w:val="20"/>
    </w:rPr>
  </w:style>
  <w:style w:type="character" w:default="1" w:styleId="21">
    <w:name w:val="Default Paragraph Font"/>
    <w:autoRedefine/>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Body Text First Indent"/>
    <w:basedOn w:val="6"/>
    <w:unhideWhenUsed/>
    <w:qFormat/>
    <w:uiPriority w:val="99"/>
    <w:pPr>
      <w:ind w:firstLine="420" w:firstLineChars="100"/>
    </w:pPr>
  </w:style>
  <w:style w:type="paragraph" w:styleId="6">
    <w:name w:val="Body Text"/>
    <w:basedOn w:val="1"/>
    <w:next w:val="7"/>
    <w:link w:val="28"/>
    <w:semiHidden/>
    <w:unhideWhenUsed/>
    <w:qFormat/>
    <w:uiPriority w:val="99"/>
    <w:pPr>
      <w:spacing w:after="120"/>
    </w:pPr>
  </w:style>
  <w:style w:type="paragraph" w:customStyle="1" w:styleId="7">
    <w:name w:val="_Style 2"/>
    <w:basedOn w:val="1"/>
    <w:next w:val="1"/>
    <w:qFormat/>
    <w:uiPriority w:val="34"/>
    <w:pPr>
      <w:ind w:firstLine="420"/>
    </w:pPr>
  </w:style>
  <w:style w:type="paragraph" w:styleId="8">
    <w:name w:val="Body Text Indent"/>
    <w:basedOn w:val="1"/>
    <w:autoRedefine/>
    <w:unhideWhenUsed/>
    <w:qFormat/>
    <w:uiPriority w:val="0"/>
    <w:pPr>
      <w:spacing w:after="120"/>
      <w:ind w:left="420" w:leftChars="200"/>
    </w:p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30"/>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autoRedefine/>
    <w:qFormat/>
    <w:uiPriority w:val="0"/>
    <w:pPr>
      <w:ind w:left="200" w:hanging="200" w:hangingChars="200"/>
      <w:contextualSpacing/>
    </w:pPr>
  </w:style>
  <w:style w:type="paragraph" w:styleId="14">
    <w:name w:val="footnote text"/>
    <w:basedOn w:val="1"/>
    <w:autoRedefine/>
    <w:qFormat/>
    <w:uiPriority w:val="0"/>
    <w:pPr>
      <w:snapToGrid w:val="0"/>
      <w:jc w:val="left"/>
    </w:pPr>
    <w:rPr>
      <w:sz w:val="18"/>
      <w:szCs w:val="18"/>
    </w:rPr>
  </w:style>
  <w:style w:type="paragraph" w:styleId="15">
    <w:name w:val="Body Text 2"/>
    <w:basedOn w:val="1"/>
    <w:autoRedefine/>
    <w:qFormat/>
    <w:uiPriority w:val="0"/>
    <w:pPr>
      <w:spacing w:after="120" w:line="480" w:lineRule="auto"/>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2"/>
    <w:basedOn w:val="8"/>
    <w:next w:val="18"/>
    <w:qFormat/>
    <w:uiPriority w:val="0"/>
    <w:pPr>
      <w:ind w:left="0" w:leftChars="0" w:firstLine="420"/>
    </w:pPr>
    <w:rPr>
      <w:rFonts w:ascii="Times New Roman" w:hAnsi="Times New Roman"/>
      <w:szCs w:val="24"/>
    </w:rPr>
  </w:style>
  <w:style w:type="paragraph" w:customStyle="1" w:styleId="18">
    <w:name w:val="表格文字"/>
    <w:basedOn w:val="13"/>
    <w:next w:val="1"/>
    <w:qFormat/>
    <w:uiPriority w:val="0"/>
    <w:pPr>
      <w:ind w:firstLine="0" w:firstLineChars="0"/>
      <w:jc w:val="center"/>
    </w:pPr>
    <w:rPr>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customStyle="1" w:styleId="24">
    <w:name w:val="页眉 字符"/>
    <w:basedOn w:val="21"/>
    <w:link w:val="12"/>
    <w:qFormat/>
    <w:uiPriority w:val="99"/>
    <w:rPr>
      <w:sz w:val="18"/>
      <w:szCs w:val="18"/>
    </w:rPr>
  </w:style>
  <w:style w:type="character" w:customStyle="1" w:styleId="25">
    <w:name w:val="页脚 字符"/>
    <w:basedOn w:val="21"/>
    <w:link w:val="11"/>
    <w:qFormat/>
    <w:uiPriority w:val="99"/>
    <w:rPr>
      <w:sz w:val="18"/>
      <w:szCs w:val="18"/>
    </w:rPr>
  </w:style>
  <w:style w:type="paragraph" w:styleId="26">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27">
    <w:name w:val="未处理的提及1"/>
    <w:basedOn w:val="21"/>
    <w:semiHidden/>
    <w:unhideWhenUsed/>
    <w:qFormat/>
    <w:uiPriority w:val="99"/>
    <w:rPr>
      <w:color w:val="605E5C"/>
      <w:shd w:val="clear" w:color="auto" w:fill="E1DFDD"/>
    </w:rPr>
  </w:style>
  <w:style w:type="character" w:customStyle="1" w:styleId="28">
    <w:name w:val="正文文本 字符"/>
    <w:basedOn w:val="21"/>
    <w:link w:val="6"/>
    <w:semiHidden/>
    <w:qFormat/>
    <w:uiPriority w:val="99"/>
    <w:rPr>
      <w:kern w:val="2"/>
      <w:sz w:val="21"/>
      <w:szCs w:val="22"/>
    </w:rPr>
  </w:style>
  <w:style w:type="paragraph" w:customStyle="1" w:styleId="29">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
    <w:name w:val="批注框文本 字符"/>
    <w:basedOn w:val="21"/>
    <w:link w:val="10"/>
    <w:semiHidden/>
    <w:qFormat/>
    <w:uiPriority w:val="99"/>
    <w:rPr>
      <w:rFonts w:asciiTheme="minorHAnsi" w:hAnsiTheme="minorHAnsi" w:eastAsiaTheme="minorEastAsia" w:cstheme="minorBidi"/>
      <w:kern w:val="2"/>
      <w:sz w:val="18"/>
      <w:szCs w:val="18"/>
    </w:rPr>
  </w:style>
  <w:style w:type="paragraph" w:customStyle="1" w:styleId="31">
    <w:name w:val="正文（缩进）"/>
    <w:basedOn w:val="1"/>
    <w:qFormat/>
    <w:uiPriority w:val="0"/>
    <w:pPr>
      <w:spacing w:before="156" w:after="156"/>
      <w:ind w:firstLine="480"/>
    </w:pPr>
  </w:style>
  <w:style w:type="paragraph" w:customStyle="1" w:styleId="3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3">
    <w:name w:val="15"/>
    <w:qFormat/>
    <w:uiPriority w:val="0"/>
    <w:rPr>
      <w:rFonts w:ascii="Arial" w:hAnsi="Arial" w:cs="Arial"/>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2479</Words>
  <Characters>2791</Characters>
  <Lines>19</Lines>
  <Paragraphs>5</Paragraphs>
  <TotalTime>9</TotalTime>
  <ScaleCrop>false</ScaleCrop>
  <LinksUpToDate>false</LinksUpToDate>
  <CharactersWithSpaces>2803</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2021-03-14T17:18:00Z</dcterms:created>
  <dc:creator>L YY</dc:creator>
  <cp:lastModifiedBy>邵蔚</cp:lastModifiedBy>
  <cp:lastPrinted>2024-12-19T19:20:00Z</cp:lastPrinted>
  <dcterms:modified xsi:type="dcterms:W3CDTF">2026-06-04T17:14:27Z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DD775A19A309472691F67F0BC85F73BF_13</vt:lpwstr>
  </property>
  <property fmtid="{D5CDD505-2E9C-101B-9397-08002B2CF9AE}" pid="4" name="KSOTemplateDocerSaveRecord">
    <vt:lpwstr>eyJoZGlkIjoiNDI1NGQ4MDY4NjMxYWVlMzc3ODM2NDE0MmU1ODUxYzYiLCJ1c2VySWQiOiIxNTU2NzE0ODkxIn0=</vt:lpwstr>
  </property>
</Properties>
</file>