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94" w:rightChars="-45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  <w:t>华泰龙公司2025年度车辆维修保养服务</w:t>
      </w:r>
    </w:p>
    <w:p>
      <w:pPr>
        <w:ind w:right="-94" w:rightChars="-45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  <w:t>文件</w:t>
      </w:r>
    </w:p>
    <w:p>
      <w:pPr>
        <w:ind w:right="-94" w:rightChars="-45"/>
        <w:jc w:val="center"/>
        <w:rPr>
          <w:rFonts w:asciiTheme="minorEastAsia" w:hAnsiTheme="minorEastAsia" w:eastAsiaTheme="minorEastAsia"/>
          <w:b/>
          <w:bCs/>
          <w:sz w:val="21"/>
          <w:szCs w:val="21"/>
          <w:highlight w:val="none"/>
        </w:rPr>
      </w:pPr>
    </w:p>
    <w:p>
      <w:pPr>
        <w:pStyle w:val="10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-10" w:leftChars="0" w:firstLine="640" w:firstLine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项目名称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：华泰龙公司2025年度车辆维修保养服务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项目编号：ZLS-HTL-F-2025-0011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）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-10" w:leftChars="0" w:firstLine="640" w:firstLine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地点：天津市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630" w:left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三、项目概况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ab/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对天津市华泰龙淡化海水有限公司现有5辆车公务用车进行维修保养服务，车型包括：哈佛H6、上海大通、大众途观、福特途睿欧、本田CRV；服务包括：整车修理、总成修理、整车维护、小修、专项维修等。代办车务服务（年检、车船税、验车等），提供免费的道路救援、免费拖车服务及免费汽车修理接送车服务（详见附件）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四、服务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期限：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一年（合同期满后，对报价人服务情况进行综合评价，若评价良好，按原合同值续签第二年度合同）。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630" w:left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五、资格要求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：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1.具有汽车维修二类及以上资质，营业执照在有效期内；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2.具有天津市机动车维修经营许可证且在有效期内。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六、项目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控制价：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人民币7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据实结算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，报价为含税价格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询价项目的一切费用已包含在报价中，采购人不再额外支付费用。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七、评审方式：采用综合评分法评标。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评分因素及评标标准</w:t>
      </w:r>
    </w:p>
    <w:tbl>
      <w:tblPr>
        <w:tblStyle w:val="1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367"/>
        <w:gridCol w:w="5642"/>
        <w:gridCol w:w="1051"/>
      </w:tblGrid>
      <w:tr>
        <w:trPr>
          <w:trHeight w:val="493" w:hRule="atLeast"/>
          <w:jc w:val="center"/>
        </w:trPr>
        <w:tc>
          <w:tcPr>
            <w:tcW w:w="7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第一部分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商务（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分）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报价得分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）投标报价超过采购预算的，投标无效，未超过采购预算的投标报价按以下公式进行计算。</w:t>
            </w:r>
          </w:p>
          <w:p>
            <w:pPr>
              <w:widowControl/>
              <w:snapToGrid w:val="0"/>
              <w:spacing w:line="400" w:lineRule="exact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）投标报价得分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=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（评标基准价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投标报价）×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30</w:t>
            </w:r>
          </w:p>
          <w:p>
            <w:pPr>
              <w:widowControl/>
              <w:snapToGrid w:val="0"/>
              <w:spacing w:line="400" w:lineRule="exac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注：满足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询价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文件要求且投标报价最低的投标报价为评标基准价。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</w:t>
            </w:r>
          </w:p>
        </w:tc>
      </w:tr>
      <w:tr>
        <w:trPr>
          <w:trHeight w:val="493" w:hRule="atLeast"/>
          <w:jc w:val="center"/>
        </w:trPr>
        <w:tc>
          <w:tcPr>
            <w:tcW w:w="7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第二部分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技术及方案（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分）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同类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及以上规模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业绩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投标人提供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近三年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2022年6月至2025年5月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的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同类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及以上规模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业绩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vertAlign w:val="baseline"/>
                <w:lang w:val="en-US" w:eastAsia="zh-CN" w:bidi="ar-SA"/>
              </w:rPr>
              <w:t>每一件得2分，最高得10分。</w:t>
            </w:r>
          </w:p>
          <w:p>
            <w:pPr>
              <w:widowControl/>
              <w:snapToGrid w:val="0"/>
              <w:spacing w:line="400" w:lineRule="exact"/>
              <w:rPr>
                <w:rFonts w:ascii="仿宋_GB2312" w:hAnsi="宋体" w:eastAsia="仿宋_GB2312" w:cs="宋体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注：业绩材料须提供合同复印件，加盖投标单位公章，否则无效（包含但不限于合同各方、项目名称、合同金额及签字盖章页等关键内容）。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hint="eastAsia"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投标人</w:t>
            </w:r>
          </w:p>
          <w:p>
            <w:pPr>
              <w:widowControl/>
              <w:snapToGrid w:val="0"/>
              <w:spacing w:line="500" w:lineRule="exact"/>
              <w:jc w:val="center"/>
              <w:rPr>
                <w:rFonts w:hint="eastAsia" w:ascii="仿宋_GB2312" w:hAnsi="宋体" w:eastAsia="仿宋_GB2312" w:cs="宋体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实力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投标人经营场所占地面积、环境、设施设备规模等（照片佐证）</w:t>
            </w:r>
          </w:p>
          <w:p>
            <w:pPr>
              <w:snapToGrid w:val="0"/>
              <w:spacing w:line="400" w:lineRule="exact"/>
              <w:rPr>
                <w:rFonts w:hint="eastAsia" w:ascii="Calibri" w:hAnsi="Calibri" w:eastAsia="宋体" w:cs="Times New Roman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综合评价优，得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10~6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分；良，得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5~2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分；一般，得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1~0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分；未提供，得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hint="eastAsia" w:ascii="仿宋_GB2312" w:hAnsi="宋体" w:eastAsia="仿宋_GB2312" w:cs="宋体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服务响应时间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1.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承诺提供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7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*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24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小时免费车辆道路救援服务，承诺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小时之内到达现场（极端天气情况除外），得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分，否则不得分。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2.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承诺可提供服务地点车辆自提、送车服务，得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分，否则不得分。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原厂配件承诺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  <w:lang w:val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承诺使用原厂配件，质保一年，返修率不超过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％，返修车辆不再收取任何费用，品牌配件，质保一年，返修率不超过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5%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，返修车辆不再收取任何费用。得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分，否则不得分。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专业人员</w:t>
            </w:r>
          </w:p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能力评价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具有完整的组织机构、清晰的职责分工，配备专业汽车维修技师，安全员等专职人员，各类专业人员完整齐备：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综合评价优，得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10~6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分；综合评价良，得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5~2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  <w:lang w:val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综合评价一般，得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1~0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分；未提供，得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其他服务内容评价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包括车辆年检、保险理赔及其他增值服务等内容：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内容完整、满足采购人的需求，得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10~6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内容不完整、基本满足需求，得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5~1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  <w:lang w:val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未提供，得</w:t>
            </w:r>
            <w:r>
              <w:rPr>
                <w:rFonts w:ascii="仿宋_GB2312" w:hAnsi="宋体" w:eastAsia="仿宋_GB2312" w:cs="宋体"/>
                <w:sz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分。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sz w:val="24"/>
                <w:highlight w:val="none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</w:t>
            </w:r>
          </w:p>
        </w:tc>
      </w:tr>
      <w:tr>
        <w:trPr>
          <w:trHeight w:val="194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售后服务方案评价</w:t>
            </w:r>
          </w:p>
        </w:tc>
        <w:tc>
          <w:tcPr>
            <w:tcW w:w="5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售后流程、售后维护制度健全、可行：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10~6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snapToGrid w:val="0"/>
              <w:spacing w:line="400" w:lineRule="exact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售后流程、售后维护制度较为健全、可行：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5~2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snapToGrid w:val="0"/>
              <w:spacing w:line="400" w:lineRule="exact"/>
              <w:rPr>
                <w:rFonts w:hint="eastAsia"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售后流程、售后维护制度不够健全：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1~0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分；</w:t>
            </w:r>
          </w:p>
          <w:p>
            <w:pPr>
              <w:pStyle w:val="20"/>
              <w:rPr>
                <w:rFonts w:ascii="仿宋_GB2312" w:hAnsi="宋体" w:eastAsia="仿宋_GB2312" w:cs="宋体"/>
                <w:sz w:val="24"/>
                <w:highlight w:val="none"/>
              </w:rPr>
            </w:pPr>
            <w:r>
              <w:rPr>
                <w:rFonts w:hint="eastAsia" w:eastAsia="仿宋_GB2312"/>
                <w:highlight w:val="none"/>
                <w:lang w:val="en-US" w:eastAsia="zh-CN"/>
              </w:rPr>
              <w:t>其他：</w:t>
            </w:r>
            <w:r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</w:t>
            </w:r>
            <w:r>
              <w:rPr>
                <w:rFonts w:hint="eastAsia" w:eastAsia="仿宋_GB2312"/>
                <w:highlight w:val="none"/>
                <w:lang w:val="en-US" w:eastAsia="zh-CN"/>
              </w:rPr>
              <w:t>分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7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合计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  <w:t>100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分</w:t>
            </w:r>
          </w:p>
        </w:tc>
      </w:tr>
    </w:tbl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八、结算方式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每次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完成保养及维修服务并经双方确认后，在5个工作日内报送本次维修项目结算单（后附维修更换前后的零配件照片）。每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季度结束后，需提供上季度维修明细及增值税专用发票，收到发票后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履行付款审批程序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据实支付费用。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九、服务需求：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1.须提供免费接送车及24小时免费道路救援服务。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2.需保证原厂配件、副厂配件或者修复配件，明码标价并保证质量。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3.车辆维修质量保证。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十、报价单位所编制的报价文件，需加盖公章，并提供第五条资格要求的资料加盖单位公章的复印件扫描件一套。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十一、注意事项及否决条件：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.报价单位须根据采购需求书，结合自身实际进行报价，并保证所提供资料和数据的真实性。采购人将参考其他供应商报价、历史采购价和近期市场价格等，对于异常低价可能导致影响履约的报价，应要求供应商进行澄清，供应商不能说明其报价合理或保证履约的，采购人有权否决该供应商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2.报价单位应认真阅读询价文件中所有的事项、格式、条款和规范等要求。报价单位没有按照询价文件要求提交全部资料，或者报价函未对询价文件各方面都做出实质性响应，报价函将被否决。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3.为保证本项目公正性，各投标单位应独立编制报价文件，如出现相同IP地址的报价文件，文件将被否决，相同IP地址的报价单位视为围标行为，我公司将进行严肃处理。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4.报价单位应为天津水务集团有限公司合格供应商（“津水云采”平台注册审核通过并购买CA证书的供应商）。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十二、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报价文件的提交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1.询价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截止时间：202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日1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:00（北京时间）。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报价单位应在询价截止时间之前将报价内容上传至“津水云采”平台。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联系人及联系方式：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_GB2312"/>
          <w:kern w:val="2"/>
          <w:sz w:val="30"/>
          <w:szCs w:val="30"/>
          <w:highlight w:val="none"/>
          <w:lang w:val="en-US" w:eastAsia="zh-CN" w:bidi="ar-SA"/>
        </w:rPr>
        <w:t>询价项目联系人及联系方式：张工 022-67296813</w:t>
      </w:r>
    </w:p>
    <w:p>
      <w:pPr>
        <w:pStyle w:val="10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_GB2312"/>
          <w:kern w:val="2"/>
          <w:sz w:val="30"/>
          <w:szCs w:val="30"/>
          <w:highlight w:val="none"/>
          <w:lang w:val="en-US" w:eastAsia="zh-CN" w:bidi="ar-SA"/>
        </w:rPr>
        <w:t>项目技术联系人及联系方式：王工 022-67196496</w:t>
      </w:r>
    </w:p>
    <w:p>
      <w:pPr>
        <w:ind w:firstLine="486" w:firstLineChars="152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>
      <w:pPr>
        <w:ind w:firstLine="486" w:firstLineChars="152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天津市华泰龙淡化海水有限公司</w:t>
      </w:r>
    </w:p>
    <w:p>
      <w:pPr>
        <w:ind w:right="560" w:firstLine="486" w:firstLineChars="152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>
      <w:pP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>
      <w:pPr>
        <w:pageBreakBefore/>
        <w:jc w:val="center"/>
        <w:rPr>
          <w:b/>
          <w:color w:val="auto"/>
          <w:sz w:val="40"/>
          <w:szCs w:val="40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采购需求书</w:t>
      </w:r>
    </w:p>
    <w:tbl>
      <w:tblPr>
        <w:tblStyle w:val="12"/>
        <w:tblW w:w="98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32"/>
        <w:gridCol w:w="2551"/>
        <w:gridCol w:w="2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1" w:hRule="atLeast"/>
          <w:jc w:val="center"/>
        </w:trPr>
        <w:tc>
          <w:tcPr>
            <w:tcW w:w="2349" w:type="dxa"/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一、项目名称</w:t>
            </w:r>
          </w:p>
        </w:tc>
        <w:tc>
          <w:tcPr>
            <w:tcW w:w="7522" w:type="dxa"/>
            <w:gridSpan w:val="3"/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both"/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华泰龙公司2025年度车辆维修保养服务</w:t>
            </w: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49" w:type="dxa"/>
            <w:vMerge w:val="restart"/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both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二、采购类别</w:t>
            </w:r>
          </w:p>
        </w:tc>
        <w:tc>
          <w:tcPr>
            <w:tcW w:w="2532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□</w:t>
            </w:r>
            <w:r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  <w:t>工程</w:t>
            </w:r>
          </w:p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□物资</w:t>
            </w:r>
          </w:p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sym w:font="Wingdings 2" w:char="0052"/>
            </w: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服务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投资概算</w:t>
            </w:r>
          </w:p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349" w:type="dxa"/>
            <w:vMerge w:val="continue"/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53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采购控制价</w:t>
            </w:r>
          </w:p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9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三、项目概况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="560" w:firstLineChars="200"/>
              <w:jc w:val="left"/>
              <w:rPr>
                <w:rFonts w:hint="default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2025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</w:rPr>
              <w:t>年度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对天津市华泰龙淡化海水有限公司现有5辆车公务用车，车型包括：哈佛H6、上海大通、大众途观、福特途睿欧、本田CRV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进行服务，服务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包括整车修理、总成修理、整车维护、小修、专项维修等。代办车务服务（年检、车船税、验车等）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提供免费的道路救援、免费拖车服务及免费汽车修理接送车服务。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详见附件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四、资质要求（工程采购）/功能需求（物采购资）</w:t>
            </w:r>
            <w:r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  <w:t>/</w:t>
            </w: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服务需求（服务采购）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rPr>
                <w:rFonts w:ascii="仿宋_GB2312" w:hAnsi="黑体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</w:rPr>
              <w:t>（一）</w:t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highlight w:val="none"/>
              </w:rPr>
              <w:t>具有</w:t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汽车维修二类及以上资质，</w:t>
            </w:r>
            <w:r>
              <w:rPr>
                <w:rFonts w:ascii="仿宋_GB2312" w:hAnsi="黑体" w:eastAsia="仿宋_GB2312"/>
                <w:color w:val="000000"/>
                <w:sz w:val="28"/>
                <w:szCs w:val="28"/>
                <w:highlight w:val="none"/>
              </w:rPr>
              <w:t>营业执照在有效期内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highlight w:val="none"/>
                <w:lang w:eastAsia="zh-CN"/>
              </w:rPr>
              <w:t>；</w:t>
            </w:r>
          </w:p>
          <w:p>
            <w:pPr>
              <w:pStyle w:val="10"/>
              <w:shd w:val="clear" w:color="auto" w:fill="FFFFFF"/>
              <w:spacing w:before="0" w:beforeAutospacing="0" w:after="0" w:afterAutospacing="0"/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（二）提供有效的营业执照及天津市机动车维修经营许可证复印件，并加盖公章；</w:t>
            </w:r>
          </w:p>
          <w:p>
            <w:pPr>
              <w:pStyle w:val="10"/>
              <w:shd w:val="clear" w:color="auto" w:fill="FFFFFF"/>
              <w:spacing w:before="0" w:beforeAutospacing="0" w:after="0" w:afterAutospacing="0"/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（三）须提供免费接送车及24小时免费道路救援服务。</w:t>
            </w:r>
          </w:p>
          <w:p>
            <w:pPr>
              <w:pStyle w:val="10"/>
              <w:shd w:val="clear" w:color="auto" w:fill="FFFFFF"/>
              <w:spacing w:before="0" w:beforeAutospacing="0" w:after="0" w:afterAutospacing="0"/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（四）原厂配件、副厂配件或者修复配件，明码标价并保证质量。</w:t>
            </w:r>
          </w:p>
          <w:p>
            <w:pPr>
              <w:pStyle w:val="10"/>
              <w:shd w:val="clear" w:color="auto" w:fill="FFFFFF"/>
              <w:spacing w:before="0" w:beforeAutospacing="0" w:after="0" w:afterAutospacing="0"/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（五）车辆维修质量保证。</w:t>
            </w:r>
          </w:p>
          <w:p>
            <w:pPr>
              <w:rPr>
                <w:rFonts w:hint="default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五、技术性能指标、配置及数量要求（物资采购）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default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六、工期/交货期</w:t>
            </w:r>
            <w:r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  <w:t>/</w:t>
            </w: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服务期需求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服务期限为一年（合同期满后，对报价人服务情况进行综合评价，若评价良好，按原合同值续签第二年度合同）。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七、质保期需求（物资采购）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pStyle w:val="19"/>
              <w:spacing w:line="560" w:lineRule="exact"/>
              <w:ind w:firstLine="0" w:firstLineChars="0"/>
              <w:jc w:val="left"/>
              <w:rPr>
                <w:rFonts w:ascii="仿宋_GB2312" w:hAnsi="黑体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黑体" w:eastAsia="仿宋_GB2312" w:cs="Times New Roman"/>
                <w:sz w:val="28"/>
                <w:szCs w:val="28"/>
                <w:highlight w:val="none"/>
              </w:rPr>
              <w:t>八、付款方式需求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71" w:type="dxa"/>
            <w:gridSpan w:val="4"/>
            <w:noWrap w:val="0"/>
            <w:vAlign w:val="top"/>
          </w:tcPr>
          <w:p>
            <w:pPr>
              <w:ind w:firstLine="560" w:firstLineChars="200"/>
              <w:rPr>
                <w:rFonts w:hint="eastAsia" w:ascii="宋体" w:eastAsia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采购控制价：人民币7万元/年（据实结算），每次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完成保养及维修服务并经双方确认后，在5个工作日内报送本次维修项目结算单（后附维修更换前后的零配件照片）。每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季度结束后，需提供上季度维修明细及增值税专用发票，收到发票后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履行付款审批程序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据实支付费用。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" w:lineRule="atLeast"/>
        <w:ind w:firstLine="480" w:firstLineChars="200"/>
        <w:textAlignment w:val="auto"/>
        <w:rPr>
          <w:rFonts w:hint="eastAsia" w:ascii="仿宋_GB2312" w:hAnsi="黑体" w:eastAsia="仿宋_GB2312" w:cs="Times New Roman"/>
          <w:b w:val="0"/>
          <w:bCs w:val="0"/>
          <w:color w:val="000000"/>
          <w:sz w:val="24"/>
          <w:szCs w:val="24"/>
          <w:highlight w:val="none"/>
        </w:rPr>
      </w:pPr>
      <w:r>
        <w:rPr>
          <w:rFonts w:hint="eastAsia" w:ascii="仿宋_GB2312" w:hAnsi="黑体" w:eastAsia="仿宋_GB2312" w:cs="Times New Roman"/>
          <w:b w:val="0"/>
          <w:bCs w:val="0"/>
          <w:color w:val="000000"/>
          <w:sz w:val="24"/>
          <w:szCs w:val="24"/>
          <w:highlight w:val="none"/>
        </w:rPr>
        <w:t>注：报价应包含人工、材料、安装调试、税费等所有内容，采购方不再支付中标金额以外的其他费用。</w:t>
      </w:r>
    </w:p>
    <w:p>
      <w:pPr>
        <w:jc w:val="both"/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 w:ascii="宋体" w:hAnsi="宋体"/>
          <w:sz w:val="24"/>
          <w:szCs w:val="44"/>
          <w:highlight w:val="none"/>
          <w:lang w:val="en-US" w:eastAsia="zh-CN"/>
        </w:rPr>
      </w:pPr>
    </w:p>
    <w:p>
      <w:pPr>
        <w:pStyle w:val="2"/>
        <w:ind w:left="0" w:leftChars="0" w:firstLine="0" w:firstLineChars="0"/>
        <w:rPr>
          <w:highlight w:val="none"/>
        </w:rPr>
      </w:pPr>
    </w:p>
    <w:p>
      <w:pPr>
        <w:pStyle w:val="3"/>
        <w:pageBreakBefore/>
        <w:kinsoku/>
        <w:wordWrap/>
        <w:overflowPunct/>
        <w:topLinePunct w:val="0"/>
        <w:autoSpaceDE/>
        <w:autoSpaceDN/>
        <w:bidi w:val="0"/>
        <w:spacing w:before="0" w:after="0" w:line="240" w:lineRule="auto"/>
        <w:rPr>
          <w:highlight w:val="none"/>
        </w:rPr>
      </w:pPr>
      <w:r>
        <w:rPr>
          <w:rFonts w:hint="eastAsia"/>
          <w:highlight w:val="none"/>
        </w:rPr>
        <w:t>报价内容</w:t>
      </w:r>
    </w:p>
    <w:p>
      <w:pPr>
        <w:pStyle w:val="4"/>
        <w:kinsoku/>
        <w:wordWrap/>
        <w:overflowPunct/>
        <w:topLinePunct w:val="0"/>
        <w:autoSpaceDE/>
        <w:autoSpaceDN/>
        <w:bidi w:val="0"/>
        <w:spacing w:before="0" w:after="0" w:line="240" w:lineRule="auto"/>
        <w:rPr>
          <w:bCs w:val="0"/>
          <w:sz w:val="28"/>
          <w:highlight w:val="none"/>
        </w:rPr>
      </w:pPr>
      <w:bookmarkStart w:id="0" w:name="_Toc170433546"/>
      <w:r>
        <w:rPr>
          <w:rFonts w:hint="eastAsia"/>
          <w:bCs w:val="0"/>
          <w:sz w:val="28"/>
          <w:highlight w:val="none"/>
        </w:rPr>
        <w:t>一、报价文件格式：</w:t>
      </w:r>
      <w:bookmarkEnd w:id="0"/>
    </w:p>
    <w:p>
      <w:pPr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rFonts w:ascii="楷体_GB2312" w:eastAsia="楷体_GB2312"/>
          <w:b/>
          <w:sz w:val="44"/>
          <w:szCs w:val="44"/>
          <w:highlight w:val="none"/>
        </w:rPr>
      </w:pPr>
      <w:bookmarkStart w:id="1" w:name="_Toc517079309"/>
      <w:bookmarkStart w:id="2" w:name="_Toc517845082"/>
      <w:bookmarkStart w:id="3" w:name="_Toc521838031"/>
      <w:bookmarkStart w:id="4" w:name="_Toc465588538"/>
      <w:r>
        <w:rPr>
          <w:rFonts w:hint="eastAsia" w:ascii="楷体_GB2312" w:eastAsia="楷体_GB2312"/>
          <w:b/>
          <w:sz w:val="44"/>
          <w:szCs w:val="44"/>
          <w:highlight w:val="none"/>
        </w:rPr>
        <w:t>报</w:t>
      </w:r>
      <w:r>
        <w:rPr>
          <w:rFonts w:ascii="楷体_GB2312" w:eastAsia="楷体_GB2312"/>
          <w:b/>
          <w:sz w:val="44"/>
          <w:szCs w:val="44"/>
          <w:highlight w:val="none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  <w:highlight w:val="none"/>
        </w:rPr>
        <w:t>价</w:t>
      </w:r>
      <w:r>
        <w:rPr>
          <w:rFonts w:ascii="楷体_GB2312" w:eastAsia="楷体_GB2312"/>
          <w:b/>
          <w:sz w:val="44"/>
          <w:szCs w:val="44"/>
          <w:highlight w:val="none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  <w:highlight w:val="none"/>
        </w:rPr>
        <w:t>书</w:t>
      </w:r>
      <w:bookmarkEnd w:id="1"/>
      <w:bookmarkEnd w:id="2"/>
      <w:bookmarkEnd w:id="3"/>
      <w:bookmarkEnd w:id="4"/>
      <w:bookmarkStart w:id="5" w:name="_Hlt465588337"/>
      <w:bookmarkEnd w:id="5"/>
    </w:p>
    <w:p>
      <w:pPr>
        <w:tabs>
          <w:tab w:val="left" w:pos="120"/>
        </w:tabs>
        <w:kinsoku/>
        <w:wordWrap/>
        <w:overflowPunct/>
        <w:topLinePunct w:val="0"/>
        <w:autoSpaceDE/>
        <w:autoSpaceDN/>
        <w:bidi w:val="0"/>
        <w:spacing w:line="240" w:lineRule="auto"/>
        <w:jc w:val="left"/>
        <w:rPr>
          <w:rFonts w:ascii="楷体_GB2312" w:hAnsi="宋体" w:eastAsia="楷体_GB2312"/>
          <w:b/>
          <w:sz w:val="28"/>
          <w:szCs w:val="28"/>
          <w:highlight w:val="none"/>
        </w:rPr>
      </w:pPr>
      <w:r>
        <w:rPr>
          <w:rFonts w:hint="eastAsia" w:ascii="楷体_GB2312" w:hAnsi="宋体" w:eastAsia="楷体_GB2312"/>
          <w:b/>
          <w:sz w:val="28"/>
          <w:szCs w:val="28"/>
          <w:highlight w:val="none"/>
          <w:lang w:val="en-US" w:eastAsia="zh-CN"/>
        </w:rPr>
        <w:t>天津市华泰龙淡化海水有限公司</w:t>
      </w:r>
      <w:r>
        <w:rPr>
          <w:rFonts w:hint="eastAsia" w:ascii="楷体_GB2312" w:hAnsi="宋体" w:eastAsia="楷体_GB2312"/>
          <w:b/>
          <w:sz w:val="28"/>
          <w:szCs w:val="28"/>
          <w:highlight w:val="none"/>
        </w:rPr>
        <w:t>：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宋体" w:hAnsi="宋体"/>
          <w:sz w:val="28"/>
          <w:szCs w:val="28"/>
          <w:highlight w:val="none"/>
        </w:rPr>
        <w:t>在研究了</w:t>
      </w:r>
      <w:r>
        <w:rPr>
          <w:rFonts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</w:t>
      </w:r>
      <w:r>
        <w:rPr>
          <w:rFonts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</w:rPr>
        <w:t>项目询价文件中的所有内容后，我们根据上述各种资料数据，报价为：人民币</w:t>
      </w:r>
      <w:r>
        <w:rPr>
          <w:rFonts w:ascii="宋体" w:hAnsi="宋体"/>
          <w:b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highlight w:val="none"/>
          <w:u w:val="single"/>
        </w:rPr>
        <w:t xml:space="preserve">  </w:t>
      </w:r>
      <w:r>
        <w:rPr>
          <w:rFonts w:ascii="宋体" w:hAnsi="宋体"/>
          <w:b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highlight w:val="none"/>
        </w:rPr>
        <w:t>元</w:t>
      </w:r>
      <w:r>
        <w:rPr>
          <w:rFonts w:ascii="宋体" w:hAnsi="宋体"/>
          <w:b/>
          <w:sz w:val="28"/>
          <w:szCs w:val="28"/>
          <w:highlight w:val="none"/>
        </w:rPr>
        <w:t xml:space="preserve"> </w:t>
      </w:r>
      <w:r>
        <w:rPr>
          <w:rFonts w:hint="eastAsia" w:ascii="宋体" w:hAnsi="宋体"/>
          <w:b/>
          <w:sz w:val="28"/>
          <w:szCs w:val="28"/>
          <w:highlight w:val="none"/>
        </w:rPr>
        <w:t>（大写：</w:t>
      </w:r>
      <w:r>
        <w:rPr>
          <w:rFonts w:ascii="宋体" w:hAnsi="宋体"/>
          <w:b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highlight w:val="none"/>
          <w:u w:val="single"/>
        </w:rPr>
        <w:t xml:space="preserve">    </w:t>
      </w:r>
      <w:r>
        <w:rPr>
          <w:rFonts w:ascii="宋体" w:hAnsi="宋体"/>
          <w:b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highlight w:val="none"/>
        </w:rPr>
        <w:t>）</w:t>
      </w:r>
      <w:r>
        <w:rPr>
          <w:rFonts w:hint="eastAsia" w:ascii="宋体" w:hAnsi="宋体"/>
          <w:b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据实结算</w:t>
      </w:r>
      <w:r>
        <w:rPr>
          <w:rFonts w:hint="eastAsia" w:ascii="宋体" w:hAnsi="宋体"/>
          <w:b/>
          <w:sz w:val="28"/>
          <w:szCs w:val="28"/>
          <w:highlight w:val="none"/>
          <w:lang w:eastAsia="zh-CN"/>
        </w:rPr>
        <w:t>）</w:t>
      </w:r>
      <w:r>
        <w:rPr>
          <w:rFonts w:hint="eastAsia" w:ascii="宋体" w:hAnsi="宋体"/>
          <w:b/>
          <w:sz w:val="28"/>
          <w:szCs w:val="28"/>
          <w:highlight w:val="none"/>
        </w:rPr>
        <w:t>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default" w:ascii="宋体" w:hAns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2.服务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期限：</w:t>
      </w: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一年（合同期满后，对报价人服务情况进行综合评价，若评价良好，按原合同值续签第二年度合同）。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3.服务需求：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（1）须提供免费接送车及24小时免费道路救援服务。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（2）需保证原厂配件、副厂配件或者修复配件，明码标价并保证质量。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（3）车辆维修质量保证。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4.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结算方式：</w:t>
      </w: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每次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完成保养及维修服务并经双方确认后，在5个工作日内报送本次维修项目结算单（后附维修更换前后的零配件照片）。每</w:t>
      </w: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季度结束后，需提供上季度维修明细及增值税专用发票，收到发票后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履行付款审批程序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据实支付费用。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asci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5.</w:t>
      </w:r>
      <w:r>
        <w:rPr>
          <w:rFonts w:hint="eastAsia" w:ascii="宋体" w:hAnsi="宋体"/>
          <w:sz w:val="28"/>
          <w:szCs w:val="28"/>
          <w:highlight w:val="none"/>
        </w:rPr>
        <w:t>所有附件均为我们报价书的组成部分</w:t>
      </w:r>
      <w:r>
        <w:rPr>
          <w:rFonts w:hint="eastAsia" w:ascii="宋体" w:hAnsi="宋体"/>
          <w:sz w:val="28"/>
          <w:szCs w:val="28"/>
          <w:highlight w:val="none"/>
          <w:lang w:eastAsia="zh-CN"/>
        </w:rPr>
        <w:t>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asci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6.</w:t>
      </w:r>
      <w:r>
        <w:rPr>
          <w:rFonts w:hint="eastAsia" w:ascii="宋体" w:hAnsi="宋体"/>
          <w:sz w:val="28"/>
          <w:szCs w:val="28"/>
          <w:highlight w:val="none"/>
        </w:rPr>
        <w:t>本报价书的报价有效期为报价之日起</w:t>
      </w:r>
      <w:r>
        <w:rPr>
          <w:rFonts w:ascii="宋体" w:hAnsi="宋体"/>
          <w:sz w:val="28"/>
          <w:szCs w:val="28"/>
          <w:highlight w:val="none"/>
        </w:rPr>
        <w:t>30</w:t>
      </w:r>
      <w:r>
        <w:rPr>
          <w:rFonts w:hint="eastAsia" w:ascii="宋体" w:hAnsi="宋体"/>
          <w:sz w:val="28"/>
          <w:szCs w:val="28"/>
          <w:highlight w:val="none"/>
        </w:rPr>
        <w:t>天内。</w:t>
      </w:r>
    </w:p>
    <w:p>
      <w:pPr>
        <w:numPr>
          <w:ilvl w:val="0"/>
          <w:numId w:val="0"/>
        </w:numPr>
        <w:tabs>
          <w:tab w:val="left" w:pos="525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105" w:leftChars="0"/>
        <w:textAlignment w:val="baseline"/>
        <w:rPr>
          <w:rFonts w:asci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7.</w:t>
      </w:r>
      <w:r>
        <w:rPr>
          <w:rFonts w:hint="eastAsia" w:ascii="宋体" w:hAnsi="宋体"/>
          <w:sz w:val="28"/>
          <w:szCs w:val="28"/>
          <w:highlight w:val="none"/>
        </w:rPr>
        <w:t>其他：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>响应询价文件中所有实质性要求。</w:t>
      </w:r>
      <w:r>
        <w:rPr>
          <w:rFonts w:ascii="宋体" w:hAnsi="宋体"/>
          <w:sz w:val="28"/>
          <w:szCs w:val="28"/>
          <w:highlight w:val="none"/>
          <w:u w:val="single"/>
        </w:rPr>
        <w:t xml:space="preserve">  </w:t>
      </w:r>
    </w:p>
    <w:p>
      <w:pPr>
        <w:suppressAutoHyphens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rFonts w:ascii="宋体"/>
          <w:sz w:val="28"/>
          <w:szCs w:val="28"/>
          <w:highlight w:val="none"/>
        </w:rPr>
      </w:pPr>
      <w:r>
        <w:rPr>
          <w:rFonts w:ascii="宋体" w:hAnsi="宋体"/>
          <w:sz w:val="28"/>
          <w:szCs w:val="28"/>
          <w:highlight w:val="none"/>
        </w:rPr>
        <w:t xml:space="preserve">                       </w:t>
      </w:r>
    </w:p>
    <w:p>
      <w:pPr>
        <w:suppressAutoHyphens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rFonts w:ascii="宋体"/>
          <w:sz w:val="28"/>
          <w:szCs w:val="28"/>
          <w:highlight w:val="none"/>
          <w:u w:val="single"/>
        </w:rPr>
      </w:pPr>
      <w:r>
        <w:rPr>
          <w:rFonts w:ascii="宋体" w:hAnsi="宋体"/>
          <w:sz w:val="28"/>
          <w:szCs w:val="28"/>
          <w:highlight w:val="none"/>
        </w:rPr>
        <w:t xml:space="preserve">                   </w:t>
      </w:r>
      <w:r>
        <w:rPr>
          <w:rFonts w:hint="eastAsia" w:ascii="宋体" w:hAnsi="宋体"/>
          <w:sz w:val="28"/>
          <w:szCs w:val="28"/>
          <w:highlight w:val="none"/>
        </w:rPr>
        <w:t>单位：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>　　</w:t>
      </w:r>
      <w:r>
        <w:rPr>
          <w:rFonts w:ascii="宋体" w:hAnsi="宋体"/>
          <w:sz w:val="28"/>
          <w:szCs w:val="28"/>
          <w:highlight w:val="none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>盖章</w:t>
      </w:r>
      <w:r>
        <w:rPr>
          <w:rFonts w:ascii="宋体" w:hAnsi="宋体"/>
          <w:sz w:val="28"/>
          <w:szCs w:val="28"/>
          <w:highlight w:val="none"/>
          <w:u w:val="single"/>
        </w:rPr>
        <w:t xml:space="preserve">)      </w:t>
      </w:r>
    </w:p>
    <w:p>
      <w:pPr>
        <w:suppressAutoHyphens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highlight w:val="none"/>
        </w:rPr>
      </w:pPr>
      <w:r>
        <w:rPr>
          <w:rFonts w:ascii="宋体" w:hAnsi="宋体"/>
          <w:sz w:val="28"/>
          <w:szCs w:val="28"/>
          <w:highlight w:val="none"/>
        </w:rPr>
        <w:t xml:space="preserve">      </w:t>
      </w:r>
      <w:r>
        <w:rPr>
          <w:rFonts w:hint="eastAsia" w:ascii="宋体" w:hAnsi="宋体"/>
          <w:sz w:val="28"/>
          <w:szCs w:val="28"/>
          <w:highlight w:val="none"/>
        </w:rPr>
        <w:t>日期：</w:t>
      </w:r>
    </w:p>
    <w:p>
      <w:pPr>
        <w:pStyle w:val="4"/>
        <w:numPr>
          <w:ilvl w:val="0"/>
          <w:numId w:val="2"/>
        </w:numPr>
        <w:rPr>
          <w:rFonts w:hint="eastAsia" w:cs="Times New Roman"/>
          <w:highlight w:val="none"/>
          <w:lang w:val="en-US" w:eastAsia="zh-CN"/>
        </w:rPr>
      </w:pPr>
      <w:r>
        <w:rPr>
          <w:rFonts w:hint="eastAsia" w:cs="Times New Roman"/>
          <w:highlight w:val="none"/>
          <w:lang w:val="en-US" w:eastAsia="zh-CN"/>
        </w:rPr>
        <w:t>报价明细表（需按附件内容报价）</w:t>
      </w:r>
    </w:p>
    <w:p>
      <w:pPr>
        <w:pStyle w:val="4"/>
        <w:numPr>
          <w:ilvl w:val="0"/>
          <w:numId w:val="2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服务方案</w:t>
      </w:r>
    </w:p>
    <w:p>
      <w:pPr>
        <w:pStyle w:val="4"/>
        <w:numPr>
          <w:ilvl w:val="0"/>
          <w:numId w:val="2"/>
        </w:numPr>
        <w:rPr>
          <w:rFonts w:hint="eastAsia" w:cs="Times New Roman"/>
          <w:highlight w:val="none"/>
          <w:lang w:val="en-US" w:eastAsia="zh-CN"/>
        </w:rPr>
      </w:pPr>
      <w:r>
        <w:rPr>
          <w:rFonts w:hint="eastAsia" w:cs="Times New Roman"/>
          <w:highlight w:val="none"/>
          <w:lang w:val="en-US" w:eastAsia="zh-CN"/>
        </w:rPr>
        <w:t>资质文件（复印件需加盖公章）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270" w:right="1800" w:bottom="127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BB067"/>
    <w:multiLevelType w:val="singleLevel"/>
    <w:tmpl w:val="2B5BB0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AAA674"/>
    <w:multiLevelType w:val="singleLevel"/>
    <w:tmpl w:val="54AAA674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8106E"/>
    <w:rsid w:val="000C4EDF"/>
    <w:rsid w:val="000F5C1F"/>
    <w:rsid w:val="00123357"/>
    <w:rsid w:val="003014F9"/>
    <w:rsid w:val="00355A92"/>
    <w:rsid w:val="00364C97"/>
    <w:rsid w:val="003713AB"/>
    <w:rsid w:val="003B142E"/>
    <w:rsid w:val="003C3D36"/>
    <w:rsid w:val="003F2208"/>
    <w:rsid w:val="0044596A"/>
    <w:rsid w:val="005946FC"/>
    <w:rsid w:val="005B20F8"/>
    <w:rsid w:val="005C4DF6"/>
    <w:rsid w:val="005F44D4"/>
    <w:rsid w:val="00601156"/>
    <w:rsid w:val="00706AAF"/>
    <w:rsid w:val="0075299B"/>
    <w:rsid w:val="008336CB"/>
    <w:rsid w:val="008C2D17"/>
    <w:rsid w:val="008C4036"/>
    <w:rsid w:val="00AC08A7"/>
    <w:rsid w:val="00E41260"/>
    <w:rsid w:val="00F41F3B"/>
    <w:rsid w:val="00F5096D"/>
    <w:rsid w:val="013E6A0A"/>
    <w:rsid w:val="053C5F1C"/>
    <w:rsid w:val="08A900FE"/>
    <w:rsid w:val="0A1C4B9A"/>
    <w:rsid w:val="0B691116"/>
    <w:rsid w:val="0C3A6B17"/>
    <w:rsid w:val="0C40107A"/>
    <w:rsid w:val="0C4A2940"/>
    <w:rsid w:val="10F9286C"/>
    <w:rsid w:val="123F0EEE"/>
    <w:rsid w:val="14C93D1C"/>
    <w:rsid w:val="17303D09"/>
    <w:rsid w:val="185D1E2A"/>
    <w:rsid w:val="18C96B53"/>
    <w:rsid w:val="1A8403FC"/>
    <w:rsid w:val="1AD82FF5"/>
    <w:rsid w:val="1B270A88"/>
    <w:rsid w:val="1B8347AC"/>
    <w:rsid w:val="1EFC4482"/>
    <w:rsid w:val="1F262D28"/>
    <w:rsid w:val="20995955"/>
    <w:rsid w:val="20C160FE"/>
    <w:rsid w:val="23260BA8"/>
    <w:rsid w:val="25AC6ED8"/>
    <w:rsid w:val="2C6F2768"/>
    <w:rsid w:val="2C942868"/>
    <w:rsid w:val="2CA14761"/>
    <w:rsid w:val="2CBC358A"/>
    <w:rsid w:val="2D8D3282"/>
    <w:rsid w:val="2F3C33B1"/>
    <w:rsid w:val="36710E60"/>
    <w:rsid w:val="378F203B"/>
    <w:rsid w:val="38A86AC5"/>
    <w:rsid w:val="3AF41E04"/>
    <w:rsid w:val="3BF55F68"/>
    <w:rsid w:val="3D6965AE"/>
    <w:rsid w:val="41E9525E"/>
    <w:rsid w:val="467D407E"/>
    <w:rsid w:val="4A08106E"/>
    <w:rsid w:val="4A7F53AC"/>
    <w:rsid w:val="4C155A36"/>
    <w:rsid w:val="4C9A7A69"/>
    <w:rsid w:val="4E715341"/>
    <w:rsid w:val="4F784086"/>
    <w:rsid w:val="4FAC206F"/>
    <w:rsid w:val="57500548"/>
    <w:rsid w:val="58C82B92"/>
    <w:rsid w:val="59637B57"/>
    <w:rsid w:val="5A5F7EBD"/>
    <w:rsid w:val="61F1463E"/>
    <w:rsid w:val="62CB00CF"/>
    <w:rsid w:val="62F917CE"/>
    <w:rsid w:val="654F6FA2"/>
    <w:rsid w:val="664F5A34"/>
    <w:rsid w:val="67FF7627"/>
    <w:rsid w:val="6CED2CCF"/>
    <w:rsid w:val="6D707694"/>
    <w:rsid w:val="6E966A5B"/>
    <w:rsid w:val="71A55ABF"/>
    <w:rsid w:val="72901FD4"/>
    <w:rsid w:val="73A54012"/>
    <w:rsid w:val="747C2CF1"/>
    <w:rsid w:val="77D42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0" w:lineRule="atLeast"/>
      <w:jc w:val="center"/>
      <w:outlineLvl w:val="0"/>
    </w:pPr>
    <w:rPr>
      <w:rFonts w:ascii="Times New Roman" w:hAnsi="Times New Roman"/>
      <w:b/>
      <w:bCs/>
      <w:kern w:val="44"/>
      <w:sz w:val="36"/>
      <w:szCs w:val="44"/>
    </w:rPr>
  </w:style>
  <w:style w:type="paragraph" w:styleId="4">
    <w:name w:val="heading 2"/>
    <w:basedOn w:val="1"/>
    <w:next w:val="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5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Date"/>
    <w:basedOn w:val="1"/>
    <w:next w:val="1"/>
    <w:link w:val="18"/>
    <w:qFormat/>
    <w:uiPriority w:val="0"/>
    <w:pPr>
      <w:ind w:left="100" w:leftChars="2500"/>
    </w:pPr>
  </w:style>
  <w:style w:type="paragraph" w:styleId="8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Body Text First Indent 2"/>
    <w:basedOn w:val="6"/>
    <w:qFormat/>
    <w:uiPriority w:val="0"/>
    <w:pPr>
      <w:ind w:firstLine="420" w:firstLineChars="200"/>
    </w:p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Char"/>
    <w:basedOn w:val="13"/>
    <w:link w:val="9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页脚 Char"/>
    <w:basedOn w:val="13"/>
    <w:link w:val="8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日期 Char"/>
    <w:basedOn w:val="13"/>
    <w:link w:val="7"/>
    <w:qFormat/>
    <w:uiPriority w:val="0"/>
    <w:rPr>
      <w:rFonts w:ascii="Calibri" w:hAnsi="Calibri"/>
      <w:kern w:val="2"/>
      <w:sz w:val="21"/>
      <w:szCs w:val="2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164</Words>
  <Characters>941</Characters>
  <Lines>7</Lines>
  <Paragraphs>2</Paragraphs>
  <TotalTime>1</TotalTime>
  <ScaleCrop>false</ScaleCrop>
  <LinksUpToDate>false</LinksUpToDate>
  <CharactersWithSpaces>1103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2022-11-14T01:02:00Z</dcterms:created>
  <dc:creator>dell</dc:creator>
  <cp:lastModifiedBy>dell</cp:lastModifiedBy>
  <cp:lastPrinted>2025-06-20T06:35:00Z</cp:lastPrinted>
  <dcterms:modified xsi:type="dcterms:W3CDTF">2025-06-23T00:39:05Z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