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7F3E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黑体" w:eastAsia="仿宋_GB2312" w:cs="Times New Roman"/>
          <w:color w:val="000000"/>
          <w:sz w:val="32"/>
          <w:szCs w:val="32"/>
          <w:lang w:val="en-US" w:eastAsia="zh-CN"/>
        </w:rPr>
      </w:pPr>
      <w:r>
        <w:rPr>
          <w:rFonts w:hint="eastAsia" w:ascii="仿宋_GB2312" w:hAnsi="黑体" w:eastAsia="仿宋_GB2312" w:cs="Times New Roman"/>
          <w:color w:val="000000"/>
          <w:sz w:val="32"/>
          <w:szCs w:val="32"/>
          <w:lang w:val="en-US" w:eastAsia="zh-CN"/>
        </w:rPr>
        <w:t>附件2 保障限额——自来水处理工程项目</w:t>
      </w: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7581"/>
      </w:tblGrid>
      <w:tr w14:paraId="5D3C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171D94A1">
            <w:pPr>
              <w:snapToGrid w:val="0"/>
              <w:contextualSpacing/>
              <w:rPr>
                <w:rFonts w:ascii="Times New Roman" w:hAnsi="Times New Roman" w:eastAsia="宋体" w:cs="Times New Roman"/>
                <w:b/>
                <w:caps/>
                <w:sz w:val="24"/>
                <w:szCs w:val="21"/>
                <w:lang w:val="en-GB"/>
              </w:rPr>
            </w:pPr>
            <w:bookmarkStart w:id="0" w:name="_GoBack"/>
            <w:r>
              <w:rPr>
                <w:rFonts w:ascii="Times New Roman" w:hAnsi="Times New Roman" w:eastAsia="宋体" w:cs="Times New Roman"/>
                <w:b/>
                <w:caps/>
                <w:sz w:val="24"/>
                <w:szCs w:val="21"/>
                <w:lang w:val="en-GB"/>
              </w:rPr>
              <w:t>1、险种</w:t>
            </w:r>
          </w:p>
        </w:tc>
        <w:tc>
          <w:tcPr>
            <w:tcW w:w="7581" w:type="dxa"/>
            <w:noWrap w:val="0"/>
            <w:vAlign w:val="center"/>
          </w:tcPr>
          <w:p w14:paraId="6B63DB22">
            <w:pPr>
              <w:snapToGrid w:val="0"/>
              <w:contextualSpacing/>
              <w:rPr>
                <w:rFonts w:ascii="Times New Roman" w:hAnsi="Times New Roman" w:eastAsia="宋体" w:cs="Times New Roman"/>
                <w:sz w:val="24"/>
                <w:szCs w:val="21"/>
              </w:rPr>
            </w:pPr>
            <w:r>
              <w:rPr>
                <w:rFonts w:hint="eastAsia" w:ascii="Times New Roman" w:hAnsi="Times New Roman" w:eastAsia="宋体" w:cs="Times New Roman"/>
                <w:sz w:val="24"/>
                <w:szCs w:val="21"/>
              </w:rPr>
              <w:t>公众责任险</w:t>
            </w:r>
          </w:p>
        </w:tc>
      </w:tr>
      <w:tr w14:paraId="7EF4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07" w:type="dxa"/>
            <w:noWrap w:val="0"/>
            <w:vAlign w:val="center"/>
          </w:tcPr>
          <w:p w14:paraId="320BF959">
            <w:pPr>
              <w:snapToGrid w:val="0"/>
              <w:contextualSpacing/>
              <w:rPr>
                <w:rFonts w:ascii="Times New Roman" w:hAnsi="Times New Roman" w:eastAsia="宋体" w:cs="Times New Roman"/>
                <w:b/>
                <w:sz w:val="24"/>
                <w:szCs w:val="21"/>
              </w:rPr>
            </w:pPr>
            <w:r>
              <w:rPr>
                <w:rFonts w:ascii="Times New Roman" w:hAnsi="Times New Roman" w:eastAsia="宋体" w:cs="Times New Roman"/>
                <w:b/>
                <w:sz w:val="24"/>
                <w:szCs w:val="21"/>
              </w:rPr>
              <w:t>2、保险条款</w:t>
            </w:r>
          </w:p>
        </w:tc>
        <w:tc>
          <w:tcPr>
            <w:tcW w:w="7581" w:type="dxa"/>
            <w:noWrap w:val="0"/>
            <w:vAlign w:val="center"/>
          </w:tcPr>
          <w:p w14:paraId="0D4F06DB">
            <w:pPr>
              <w:snapToGrid w:val="0"/>
              <w:contextualSpacing/>
              <w:rPr>
                <w:rFonts w:ascii="Times New Roman" w:hAnsi="Times New Roman" w:eastAsia="宋体" w:cs="Times New Roman"/>
                <w:color w:val="FF0000"/>
                <w:sz w:val="24"/>
                <w:szCs w:val="21"/>
              </w:rPr>
            </w:pPr>
            <w:r>
              <w:rPr>
                <w:rFonts w:hint="eastAsia" w:ascii="Times New Roman" w:hAnsi="Times New Roman" w:eastAsia="宋体" w:cs="Times New Roman"/>
                <w:sz w:val="24"/>
                <w:szCs w:val="21"/>
              </w:rPr>
              <w:t>保险人提供</w:t>
            </w:r>
          </w:p>
        </w:tc>
      </w:tr>
      <w:tr w14:paraId="41A4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2B0AE6D1">
            <w:pPr>
              <w:snapToGrid w:val="0"/>
              <w:contextualSpacing/>
              <w:rPr>
                <w:rFonts w:ascii="Times New Roman" w:hAnsi="Times New Roman" w:eastAsia="宋体" w:cs="Times New Roman"/>
                <w:b/>
                <w:sz w:val="24"/>
                <w:szCs w:val="21"/>
              </w:rPr>
            </w:pPr>
            <w:r>
              <w:rPr>
                <w:rFonts w:ascii="Times New Roman" w:hAnsi="Times New Roman" w:eastAsia="宋体" w:cs="Times New Roman"/>
                <w:b/>
                <w:sz w:val="24"/>
                <w:szCs w:val="21"/>
              </w:rPr>
              <w:t>3、投保人</w:t>
            </w:r>
          </w:p>
        </w:tc>
        <w:tc>
          <w:tcPr>
            <w:tcW w:w="7581" w:type="dxa"/>
            <w:noWrap w:val="0"/>
            <w:vAlign w:val="center"/>
          </w:tcPr>
          <w:p w14:paraId="669698D3">
            <w:pPr>
              <w:snapToGrid w:val="0"/>
              <w:contextualSpacing/>
              <w:rPr>
                <w:rFonts w:ascii="Times New Roman" w:hAnsi="Times New Roman" w:eastAsia="宋体" w:cs="Times New Roman"/>
                <w:sz w:val="24"/>
                <w:szCs w:val="21"/>
              </w:rPr>
            </w:pPr>
            <w:r>
              <w:rPr>
                <w:rFonts w:ascii="Times New Roman" w:hAnsi="Times New Roman" w:eastAsia="宋体" w:cs="Times New Roman"/>
                <w:sz w:val="24"/>
              </w:rPr>
              <w:t>天津市津北水务有限公司</w:t>
            </w:r>
          </w:p>
        </w:tc>
      </w:tr>
      <w:tr w14:paraId="3C06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7" w:type="dxa"/>
            <w:noWrap w:val="0"/>
            <w:vAlign w:val="center"/>
          </w:tcPr>
          <w:p w14:paraId="5844F712">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lang w:val="en-GB"/>
              </w:rPr>
              <w:t>4、被保险人</w:t>
            </w:r>
          </w:p>
        </w:tc>
        <w:tc>
          <w:tcPr>
            <w:tcW w:w="7581" w:type="dxa"/>
            <w:noWrap w:val="0"/>
            <w:vAlign w:val="center"/>
          </w:tcPr>
          <w:p w14:paraId="0A43A4D7">
            <w:pPr>
              <w:snapToGrid w:val="0"/>
              <w:contextualSpacing/>
              <w:rPr>
                <w:rFonts w:ascii="Times New Roman" w:hAnsi="Times New Roman" w:eastAsia="宋体" w:cs="Times New Roman"/>
                <w:sz w:val="24"/>
                <w:szCs w:val="21"/>
              </w:rPr>
            </w:pPr>
            <w:r>
              <w:rPr>
                <w:rFonts w:ascii="Times New Roman" w:hAnsi="Times New Roman" w:eastAsia="宋体" w:cs="Times New Roman"/>
                <w:sz w:val="24"/>
              </w:rPr>
              <w:t>天津市津北水务有限公司</w:t>
            </w:r>
          </w:p>
        </w:tc>
      </w:tr>
      <w:tr w14:paraId="564E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07" w:type="dxa"/>
            <w:noWrap w:val="0"/>
            <w:vAlign w:val="center"/>
          </w:tcPr>
          <w:p w14:paraId="1E9ECE53">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lang w:val="en-GB"/>
              </w:rPr>
              <w:t>5、保险期限</w:t>
            </w:r>
          </w:p>
        </w:tc>
        <w:tc>
          <w:tcPr>
            <w:tcW w:w="7581" w:type="dxa"/>
            <w:noWrap w:val="0"/>
            <w:vAlign w:val="center"/>
          </w:tcPr>
          <w:p w14:paraId="3E5D491F">
            <w:pPr>
              <w:snapToGrid w:val="0"/>
              <w:contextualSpacing/>
              <w:rPr>
                <w:rFonts w:ascii="Times New Roman" w:hAnsi="Times New Roman" w:eastAsia="宋体" w:cs="Times New Roman"/>
                <w:sz w:val="24"/>
                <w:szCs w:val="21"/>
              </w:rPr>
            </w:pPr>
            <w:r>
              <w:rPr>
                <w:rFonts w:hint="eastAsia" w:ascii="Times New Roman" w:hAnsi="Times New Roman" w:eastAsia="宋体" w:cs="Times New Roman"/>
                <w:sz w:val="24"/>
                <w:szCs w:val="21"/>
              </w:rPr>
              <w:t>自合同签订之日起1年</w:t>
            </w:r>
          </w:p>
        </w:tc>
      </w:tr>
      <w:tr w14:paraId="1E94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07" w:type="dxa"/>
            <w:noWrap w:val="0"/>
            <w:vAlign w:val="center"/>
          </w:tcPr>
          <w:p w14:paraId="649EFA1B">
            <w:pPr>
              <w:snapToGrid w:val="0"/>
              <w:contextualSpacing/>
              <w:rPr>
                <w:rFonts w:ascii="Times New Roman" w:hAnsi="Times New Roman" w:eastAsia="宋体" w:cs="Times New Roman"/>
                <w:b/>
                <w:caps/>
                <w:sz w:val="24"/>
                <w:szCs w:val="21"/>
              </w:rPr>
            </w:pPr>
            <w:r>
              <w:rPr>
                <w:rFonts w:ascii="Times New Roman" w:hAnsi="Times New Roman" w:eastAsia="宋体" w:cs="Times New Roman"/>
                <w:b/>
                <w:caps/>
                <w:sz w:val="24"/>
                <w:szCs w:val="21"/>
              </w:rPr>
              <w:t>6、保险责任</w:t>
            </w:r>
          </w:p>
        </w:tc>
        <w:tc>
          <w:tcPr>
            <w:tcW w:w="7581" w:type="dxa"/>
            <w:noWrap w:val="0"/>
            <w:vAlign w:val="center"/>
          </w:tcPr>
          <w:p w14:paraId="707221E4">
            <w:pPr>
              <w:snapToGrid w:val="0"/>
              <w:contextualSpacing/>
              <w:rPr>
                <w:rFonts w:ascii="Times New Roman" w:hAnsi="Times New Roman" w:eastAsia="宋体" w:cs="Times New Roman"/>
                <w:sz w:val="24"/>
                <w:szCs w:val="21"/>
              </w:rPr>
            </w:pPr>
            <w:r>
              <w:rPr>
                <w:rFonts w:hint="eastAsia" w:ascii="Times New Roman" w:hAnsi="Times New Roman" w:eastAsia="宋体" w:cs="Times New Roman"/>
                <w:bCs/>
                <w:caps/>
                <w:sz w:val="24"/>
                <w:szCs w:val="21"/>
              </w:rPr>
              <w:t>天津市津北水务有限公司投保范围</w:t>
            </w:r>
            <w:r>
              <w:rPr>
                <w:rFonts w:ascii="Times New Roman" w:hAnsi="Times New Roman" w:eastAsia="宋体" w:cs="Times New Roman"/>
                <w:bCs/>
                <w:caps/>
                <w:sz w:val="24"/>
                <w:szCs w:val="21"/>
              </w:rPr>
              <w:t>内</w:t>
            </w:r>
            <w:r>
              <w:rPr>
                <w:rFonts w:hint="eastAsia" w:ascii="Times New Roman" w:hAnsi="Times New Roman" w:eastAsia="宋体" w:cs="Times New Roman"/>
                <w:bCs/>
                <w:caps/>
                <w:sz w:val="24"/>
                <w:szCs w:val="21"/>
              </w:rPr>
              <w:t>包括（但不限于）自来水管道及附属设施造成的第三者人身伤亡及财产损失</w:t>
            </w:r>
            <w:r>
              <w:rPr>
                <w:rFonts w:ascii="Times New Roman" w:hAnsi="Times New Roman" w:eastAsia="宋体" w:cs="Times New Roman"/>
                <w:bCs/>
                <w:caps/>
                <w:sz w:val="24"/>
                <w:szCs w:val="21"/>
              </w:rPr>
              <w:t>。</w:t>
            </w:r>
          </w:p>
        </w:tc>
      </w:tr>
      <w:tr w14:paraId="73ED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6E43D252">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rPr>
              <w:t>7、赔付金额</w:t>
            </w:r>
          </w:p>
        </w:tc>
        <w:tc>
          <w:tcPr>
            <w:tcW w:w="7581" w:type="dxa"/>
            <w:noWrap w:val="0"/>
            <w:vAlign w:val="center"/>
          </w:tcPr>
          <w:p w14:paraId="130C6815">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（1）累计责任限额：1000万；</w:t>
            </w:r>
          </w:p>
          <w:p w14:paraId="36524FDF">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（2）每次事故责任限额：</w:t>
            </w:r>
            <w:r>
              <w:rPr>
                <w:rFonts w:hint="eastAsia" w:ascii="Times New Roman" w:hAnsi="Times New Roman" w:eastAsia="宋体" w:cs="Times New Roman"/>
                <w:sz w:val="24"/>
                <w:szCs w:val="21"/>
                <w:lang w:val="en-US" w:eastAsia="zh-CN"/>
              </w:rPr>
              <w:t>5</w:t>
            </w:r>
            <w:r>
              <w:rPr>
                <w:rFonts w:hint="eastAsia" w:ascii="Times New Roman" w:hAnsi="Times New Roman" w:eastAsia="宋体" w:cs="Times New Roman"/>
                <w:sz w:val="24"/>
                <w:szCs w:val="21"/>
              </w:rPr>
              <w:t>0万；</w:t>
            </w:r>
          </w:p>
          <w:p w14:paraId="549EED17">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（3）每次事故人身伤亡责任限额：</w:t>
            </w:r>
            <w:r>
              <w:rPr>
                <w:rFonts w:hint="eastAsia" w:ascii="Times New Roman" w:hAnsi="Times New Roman" w:eastAsia="宋体" w:cs="Times New Roman"/>
                <w:sz w:val="24"/>
                <w:szCs w:val="21"/>
                <w:lang w:val="en-US" w:eastAsia="zh-CN"/>
              </w:rPr>
              <w:t>4</w:t>
            </w:r>
            <w:r>
              <w:rPr>
                <w:rFonts w:hint="eastAsia" w:ascii="Times New Roman" w:hAnsi="Times New Roman" w:eastAsia="宋体" w:cs="Times New Roman"/>
                <w:sz w:val="24"/>
                <w:szCs w:val="21"/>
              </w:rPr>
              <w:t>0万；</w:t>
            </w:r>
          </w:p>
          <w:p w14:paraId="6F701B36">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（4）每次事故财产损失责任限额：10万；</w:t>
            </w:r>
          </w:p>
          <w:p w14:paraId="61419A35">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（5）每次事故每人人身伤亡责任限额：</w:t>
            </w:r>
            <w:r>
              <w:rPr>
                <w:rFonts w:hint="eastAsia" w:ascii="Times New Roman" w:hAnsi="Times New Roman" w:eastAsia="宋体" w:cs="Times New Roman"/>
                <w:sz w:val="24"/>
                <w:szCs w:val="21"/>
                <w:lang w:val="en-US" w:eastAsia="zh-CN"/>
              </w:rPr>
              <w:t>4</w:t>
            </w:r>
            <w:r>
              <w:rPr>
                <w:rFonts w:hint="eastAsia" w:ascii="Times New Roman" w:hAnsi="Times New Roman" w:eastAsia="宋体" w:cs="Times New Roman"/>
                <w:sz w:val="24"/>
                <w:szCs w:val="21"/>
              </w:rPr>
              <w:t>0万元；</w:t>
            </w:r>
          </w:p>
          <w:p w14:paraId="032DDCEC">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（6）每次事故每人财产损失责任限额：10万元；</w:t>
            </w:r>
          </w:p>
          <w:p w14:paraId="6852C450">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（7）施救费用累计赔偿金额：</w:t>
            </w:r>
            <w:r>
              <w:rPr>
                <w:rFonts w:hint="eastAsia" w:ascii="Times New Roman" w:hAnsi="Times New Roman" w:eastAsia="宋体" w:cs="Times New Roman"/>
                <w:sz w:val="24"/>
                <w:szCs w:val="21"/>
                <w:lang w:val="en-US" w:eastAsia="zh-CN"/>
              </w:rPr>
              <w:t>1</w:t>
            </w:r>
            <w:r>
              <w:rPr>
                <w:rFonts w:hint="eastAsia" w:ascii="Times New Roman" w:hAnsi="Times New Roman" w:eastAsia="宋体" w:cs="Times New Roman"/>
                <w:sz w:val="24"/>
                <w:szCs w:val="21"/>
              </w:rPr>
              <w:t>0万元；</w:t>
            </w:r>
          </w:p>
          <w:p w14:paraId="7DC70B73">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（8）法律费用累计赔偿金额：10万元；</w:t>
            </w:r>
          </w:p>
          <w:p w14:paraId="4275377F">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（9）每次事故施救费用赔偿金额：1万元；</w:t>
            </w:r>
          </w:p>
          <w:p w14:paraId="1603D48A">
            <w:pPr>
              <w:snapToGrid w:val="0"/>
              <w:contextualSpacing/>
              <w:rPr>
                <w:rFonts w:ascii="Times New Roman" w:hAnsi="Times New Roman" w:eastAsia="宋体" w:cs="Times New Roman"/>
                <w:sz w:val="24"/>
                <w:szCs w:val="21"/>
              </w:rPr>
            </w:pPr>
            <w:r>
              <w:rPr>
                <w:rFonts w:hint="eastAsia" w:ascii="Times New Roman" w:hAnsi="Times New Roman" w:eastAsia="宋体" w:cs="Times New Roman"/>
                <w:sz w:val="24"/>
                <w:szCs w:val="21"/>
              </w:rPr>
              <w:t>（10）每次事故法律费用：1万元。</w:t>
            </w:r>
          </w:p>
        </w:tc>
      </w:tr>
      <w:tr w14:paraId="76D0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0591F0CC">
            <w:pPr>
              <w:snapToGrid w:val="0"/>
              <w:contextualSpacing/>
              <w:rPr>
                <w:rFonts w:hint="eastAsia" w:ascii="Times New Roman" w:hAnsi="Times New Roman" w:eastAsia="宋体" w:cs="Times New Roman"/>
                <w:b/>
                <w:caps/>
                <w:sz w:val="24"/>
                <w:szCs w:val="21"/>
              </w:rPr>
            </w:pPr>
            <w:r>
              <w:rPr>
                <w:rFonts w:ascii="Times New Roman" w:hAnsi="Times New Roman" w:eastAsia="宋体" w:cs="Times New Roman"/>
                <w:b/>
                <w:caps/>
                <w:sz w:val="24"/>
                <w:szCs w:val="21"/>
              </w:rPr>
              <w:t>8、特别约定</w:t>
            </w:r>
          </w:p>
        </w:tc>
        <w:tc>
          <w:tcPr>
            <w:tcW w:w="7581" w:type="dxa"/>
            <w:noWrap w:val="0"/>
            <w:vAlign w:val="center"/>
          </w:tcPr>
          <w:p w14:paraId="5AD87343">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（1）</w:t>
            </w:r>
            <w:r>
              <w:rPr>
                <w:rFonts w:hint="eastAsia" w:ascii="Times New Roman" w:hAnsi="Times New Roman" w:eastAsia="宋体" w:cs="Times New Roman"/>
                <w:caps/>
                <w:sz w:val="24"/>
                <w:szCs w:val="21"/>
              </w:rPr>
              <w:t>凡属于投保人管辖的自来水管道（包括一户一表入户管道）及附属设施（包括：闸井、放气井、测流测压井、消防井、人孔井、水表井、柔口检查井、泄水井、过河管泄露井等各种井室、电伴热装置）因发生意外事故造成第三者的人身伤亡和财产损失，依法应由被保险人承担的经济赔偿责任，保险人按约定负责赔偿。</w:t>
            </w:r>
          </w:p>
          <w:p w14:paraId="3F1605A5">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（2）</w:t>
            </w:r>
            <w:r>
              <w:rPr>
                <w:rFonts w:hint="eastAsia" w:ascii="Times New Roman" w:hAnsi="Times New Roman" w:eastAsia="宋体" w:cs="Times New Roman"/>
                <w:caps/>
                <w:sz w:val="24"/>
                <w:szCs w:val="21"/>
              </w:rPr>
              <w:t>自来水管道及附属设施意外爆漏、损坏导致地面塌陷、淹泡、结冰及在修复地面塌陷过程中造成的第三者人身伤亡及财产损失自来水管道及附属设施意外爆漏导致公共设施或居民户内淹泡造成的第三者人身伤亡及财产损失，保险人按约定负责赔偿。</w:t>
            </w:r>
          </w:p>
          <w:p w14:paraId="24608A2A">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（3）</w:t>
            </w:r>
            <w:r>
              <w:rPr>
                <w:rFonts w:hint="eastAsia" w:ascii="Times New Roman" w:hAnsi="Times New Roman" w:eastAsia="宋体" w:cs="Times New Roman"/>
                <w:caps/>
                <w:sz w:val="24"/>
                <w:szCs w:val="21"/>
              </w:rPr>
              <w:t>自来水管道因严寒冻管造成第三者财产损失，保险人按约定负责赔偿。</w:t>
            </w:r>
          </w:p>
          <w:p w14:paraId="1BE4B834">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（4）</w:t>
            </w:r>
            <w:r>
              <w:rPr>
                <w:rFonts w:hint="eastAsia" w:ascii="Times New Roman" w:hAnsi="Times New Roman" w:eastAsia="宋体" w:cs="Times New Roman"/>
                <w:caps/>
                <w:sz w:val="24"/>
                <w:szCs w:val="21"/>
              </w:rPr>
              <w:t>管道附属设施的各种井室及因井盖、井圈的丢失、移位、翻转等造成的第三者人身伤亡及财产损失，保险人按约定负责赔偿。</w:t>
            </w:r>
          </w:p>
          <w:p w14:paraId="2EC041A0">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（5）</w:t>
            </w:r>
            <w:r>
              <w:rPr>
                <w:rFonts w:hint="eastAsia" w:ascii="Times New Roman" w:hAnsi="Times New Roman" w:eastAsia="宋体" w:cs="Times New Roman"/>
                <w:caps/>
                <w:sz w:val="24"/>
                <w:szCs w:val="21"/>
              </w:rPr>
              <w:t>投保人在对本保单承保区域内的管网、设施进行大规模施工、改造、修缮等工作开展前，应书面通知保险人，未经保险人评估确认同意，导致本保单承保责任增加的，保险人有权拒绝理赔。</w:t>
            </w:r>
          </w:p>
          <w:p w14:paraId="22932777">
            <w:pPr>
              <w:snapToGrid w:val="0"/>
              <w:contextualSpacing/>
              <w:rPr>
                <w:rFonts w:ascii="Times New Roman" w:hAnsi="Times New Roman" w:eastAsia="宋体" w:cs="Times New Roman"/>
                <w:caps/>
                <w:sz w:val="24"/>
                <w:szCs w:val="21"/>
              </w:rPr>
            </w:pPr>
            <w:r>
              <w:rPr>
                <w:rFonts w:hint="eastAsia" w:ascii="Times New Roman" w:hAnsi="Times New Roman" w:eastAsia="宋体" w:cs="Times New Roman"/>
                <w:caps/>
                <w:sz w:val="24"/>
                <w:szCs w:val="21"/>
                <w:lang w:eastAsia="zh-CN"/>
              </w:rPr>
              <w:t>（</w:t>
            </w:r>
            <w:r>
              <w:rPr>
                <w:rFonts w:hint="eastAsia" w:ascii="Times New Roman" w:hAnsi="Times New Roman" w:eastAsia="宋体" w:cs="Times New Roman"/>
                <w:caps/>
                <w:sz w:val="24"/>
                <w:szCs w:val="21"/>
              </w:rPr>
              <w:t>6</w:t>
            </w:r>
            <w:r>
              <w:rPr>
                <w:rFonts w:hint="eastAsia" w:ascii="Times New Roman" w:hAnsi="Times New Roman" w:eastAsia="宋体" w:cs="Times New Roman"/>
                <w:caps/>
                <w:sz w:val="24"/>
                <w:szCs w:val="21"/>
                <w:lang w:eastAsia="zh-CN"/>
              </w:rPr>
              <w:t>）</w:t>
            </w:r>
            <w:r>
              <w:rPr>
                <w:rFonts w:hint="eastAsia" w:ascii="Times New Roman" w:hAnsi="Times New Roman" w:eastAsia="宋体" w:cs="Times New Roman"/>
                <w:caps/>
                <w:sz w:val="24"/>
                <w:szCs w:val="21"/>
              </w:rPr>
              <w:t>承保区域：天津市津北水务自来水管辖范围：天津市北辰区双口镇、青光镇、大张庄镇、小淀镇、双街镇、宜兴埠镇、北仓镇、西堤头镇。</w:t>
            </w:r>
          </w:p>
        </w:tc>
      </w:tr>
      <w:tr w14:paraId="7320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7" w:type="dxa"/>
            <w:noWrap w:val="0"/>
            <w:vAlign w:val="center"/>
          </w:tcPr>
          <w:p w14:paraId="07E6898D">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rPr>
              <w:t>9</w:t>
            </w:r>
            <w:r>
              <w:rPr>
                <w:rFonts w:ascii="Times New Roman" w:hAnsi="Times New Roman" w:eastAsia="宋体" w:cs="Times New Roman"/>
                <w:b/>
                <w:caps/>
                <w:sz w:val="24"/>
                <w:szCs w:val="21"/>
                <w:lang w:val="en-GB"/>
              </w:rPr>
              <w:t>、免赔额</w:t>
            </w:r>
          </w:p>
        </w:tc>
        <w:tc>
          <w:tcPr>
            <w:tcW w:w="7581" w:type="dxa"/>
            <w:noWrap w:val="0"/>
            <w:vAlign w:val="center"/>
          </w:tcPr>
          <w:p w14:paraId="698B01BB">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（1）</w:t>
            </w:r>
            <w:r>
              <w:rPr>
                <w:rFonts w:hint="eastAsia" w:ascii="Times New Roman" w:hAnsi="Times New Roman" w:eastAsia="宋体" w:cs="Times New Roman"/>
                <w:caps/>
                <w:sz w:val="24"/>
                <w:szCs w:val="21"/>
              </w:rPr>
              <w:t>因水损直接导致第三者财产损失，每次事故绝对免赔</w:t>
            </w:r>
            <w:r>
              <w:rPr>
                <w:rFonts w:hint="eastAsia" w:ascii="Times New Roman" w:hAnsi="Times New Roman" w:eastAsia="宋体" w:cs="Times New Roman"/>
                <w:caps/>
                <w:sz w:val="24"/>
                <w:szCs w:val="21"/>
                <w:lang w:val="en-US" w:eastAsia="zh-CN"/>
              </w:rPr>
              <w:t>10</w:t>
            </w:r>
            <w:r>
              <w:rPr>
                <w:rFonts w:hint="eastAsia" w:ascii="Times New Roman" w:hAnsi="Times New Roman" w:eastAsia="宋体" w:cs="Times New Roman"/>
                <w:caps/>
                <w:sz w:val="24"/>
                <w:szCs w:val="21"/>
              </w:rPr>
              <w:t xml:space="preserve">00元或者损失金额的10%，高者为准；                                      </w:t>
            </w:r>
          </w:p>
          <w:p w14:paraId="59CE21D1">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（2）</w:t>
            </w:r>
            <w:r>
              <w:rPr>
                <w:rFonts w:hint="eastAsia" w:ascii="Times New Roman" w:hAnsi="Times New Roman" w:eastAsia="宋体" w:cs="Times New Roman"/>
                <w:caps/>
                <w:sz w:val="24"/>
                <w:szCs w:val="21"/>
              </w:rPr>
              <w:t>因水损以外的其他原因导致第三者财产损失每次事故绝对免赔500元；</w:t>
            </w:r>
          </w:p>
          <w:p w14:paraId="5B000D10">
            <w:pPr>
              <w:snapToGrid w:val="0"/>
              <w:contextualSpacing/>
              <w:rPr>
                <w:rFonts w:ascii="Times New Roman" w:hAnsi="Times New Roman" w:eastAsia="宋体" w:cs="Times New Roman"/>
                <w:caps/>
                <w:sz w:val="24"/>
                <w:szCs w:val="21"/>
              </w:rPr>
            </w:pPr>
            <w:r>
              <w:rPr>
                <w:rFonts w:hint="eastAsia" w:ascii="Times New Roman" w:hAnsi="Times New Roman" w:eastAsia="宋体" w:cs="Times New Roman"/>
                <w:sz w:val="24"/>
                <w:szCs w:val="21"/>
              </w:rPr>
              <w:t>（3）</w:t>
            </w:r>
            <w:r>
              <w:rPr>
                <w:rFonts w:hint="eastAsia" w:ascii="Times New Roman" w:hAnsi="Times New Roman" w:eastAsia="宋体" w:cs="Times New Roman"/>
                <w:caps/>
                <w:sz w:val="24"/>
                <w:szCs w:val="21"/>
              </w:rPr>
              <w:t>人伤无免赔。</w:t>
            </w:r>
          </w:p>
        </w:tc>
      </w:tr>
      <w:tr w14:paraId="4EA8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6986922B">
            <w:pPr>
              <w:snapToGrid w:val="0"/>
              <w:contextualSpacing/>
              <w:rPr>
                <w:rFonts w:ascii="Times New Roman" w:hAnsi="Times New Roman" w:eastAsia="宋体" w:cs="Times New Roman"/>
                <w:b/>
                <w:caps/>
                <w:sz w:val="24"/>
                <w:szCs w:val="21"/>
              </w:rPr>
            </w:pPr>
            <w:r>
              <w:rPr>
                <w:rFonts w:ascii="Times New Roman" w:hAnsi="Times New Roman" w:eastAsia="宋体" w:cs="Times New Roman"/>
                <w:b/>
                <w:caps/>
                <w:sz w:val="24"/>
                <w:szCs w:val="21"/>
              </w:rPr>
              <w:t>10、司法管辖</w:t>
            </w:r>
          </w:p>
        </w:tc>
        <w:tc>
          <w:tcPr>
            <w:tcW w:w="7581" w:type="dxa"/>
            <w:noWrap w:val="0"/>
            <w:vAlign w:val="center"/>
          </w:tcPr>
          <w:p w14:paraId="06F22E75">
            <w:pPr>
              <w:snapToGrid w:val="0"/>
              <w:contextualSpacing/>
              <w:rPr>
                <w:rFonts w:ascii="Times New Roman" w:hAnsi="Times New Roman" w:eastAsia="宋体" w:cs="Times New Roman"/>
                <w:sz w:val="24"/>
                <w:szCs w:val="21"/>
              </w:rPr>
            </w:pPr>
            <w:r>
              <w:rPr>
                <w:rFonts w:ascii="Times New Roman" w:hAnsi="Times New Roman" w:eastAsia="宋体" w:cs="Times New Roman"/>
                <w:bCs/>
                <w:sz w:val="24"/>
                <w:szCs w:val="21"/>
                <w:lang w:val="en-GB"/>
              </w:rPr>
              <w:t>中华人民共和国的司法管辖（港澳台除外）</w:t>
            </w:r>
          </w:p>
        </w:tc>
      </w:tr>
      <w:tr w14:paraId="46FB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noWrap w:val="0"/>
            <w:vAlign w:val="center"/>
          </w:tcPr>
          <w:p w14:paraId="3EBCC712">
            <w:pPr>
              <w:snapToGrid w:val="0"/>
              <w:contextualSpacing/>
              <w:rPr>
                <w:rFonts w:ascii="Times New Roman" w:hAnsi="Times New Roman" w:eastAsia="宋体" w:cs="Times New Roman"/>
                <w:b/>
                <w:caps/>
                <w:sz w:val="24"/>
                <w:szCs w:val="21"/>
              </w:rPr>
            </w:pPr>
            <w:r>
              <w:rPr>
                <w:rFonts w:ascii="Times New Roman" w:hAnsi="Times New Roman" w:eastAsia="宋体" w:cs="Times New Roman"/>
                <w:b/>
                <w:caps/>
                <w:sz w:val="24"/>
                <w:szCs w:val="21"/>
              </w:rPr>
              <w:t>11、保费支付方式</w:t>
            </w:r>
          </w:p>
        </w:tc>
        <w:tc>
          <w:tcPr>
            <w:tcW w:w="7581" w:type="dxa"/>
            <w:noWrap w:val="0"/>
            <w:vAlign w:val="center"/>
          </w:tcPr>
          <w:p w14:paraId="6B20FA37">
            <w:pPr>
              <w:kinsoku w:val="0"/>
              <w:overflowPunct w:val="0"/>
              <w:autoSpaceDE w:val="0"/>
              <w:autoSpaceDN w:val="0"/>
              <w:adjustRightInd w:val="0"/>
              <w:snapToGrid w:val="0"/>
              <w:contextualSpacing/>
              <w:rPr>
                <w:rFonts w:ascii="Times New Roman" w:hAnsi="Times New Roman" w:eastAsia="宋体" w:cs="Times New Roman"/>
                <w:sz w:val="24"/>
                <w:szCs w:val="21"/>
                <w:u w:val="single"/>
              </w:rPr>
            </w:pPr>
            <w:r>
              <w:rPr>
                <w:rFonts w:hint="eastAsia" w:ascii="Times New Roman" w:hAnsi="Times New Roman" w:eastAsia="宋体" w:cs="Times New Roman"/>
                <w:sz w:val="24"/>
                <w:szCs w:val="21"/>
              </w:rPr>
              <w:t>在保单正式签发后，保费由被保险人一次性支付给承保人</w:t>
            </w:r>
          </w:p>
        </w:tc>
      </w:tr>
      <w:bookmarkEnd w:id="0"/>
    </w:tbl>
    <w:p w14:paraId="1BEDC11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pgSz w:w="11906" w:h="16838"/>
          <w:pgMar w:top="567" w:right="1587" w:bottom="567" w:left="1587" w:header="851" w:footer="992" w:gutter="0"/>
          <w:cols w:space="0" w:num="1"/>
          <w:rtlGutter w:val="0"/>
          <w:docGrid w:type="linesAndChars" w:linePitch="574" w:charSpace="-1668"/>
        </w:sectPr>
      </w:pPr>
    </w:p>
    <w:p w14:paraId="499CF4C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 保障限额——污水处理工程项目</w:t>
      </w: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7581"/>
      </w:tblGrid>
      <w:tr w14:paraId="3F99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474B6172">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lang w:val="en-GB"/>
              </w:rPr>
              <w:t>1、险种</w:t>
            </w:r>
          </w:p>
        </w:tc>
        <w:tc>
          <w:tcPr>
            <w:tcW w:w="7581" w:type="dxa"/>
            <w:noWrap w:val="0"/>
            <w:vAlign w:val="center"/>
          </w:tcPr>
          <w:p w14:paraId="77C8FC52">
            <w:pPr>
              <w:snapToGrid w:val="0"/>
              <w:contextualSpacing/>
              <w:rPr>
                <w:rFonts w:ascii="Times New Roman" w:hAnsi="Times New Roman" w:eastAsia="宋体" w:cs="Times New Roman"/>
                <w:sz w:val="24"/>
                <w:szCs w:val="21"/>
              </w:rPr>
            </w:pPr>
            <w:r>
              <w:rPr>
                <w:rFonts w:hint="eastAsia" w:ascii="Times New Roman" w:hAnsi="Times New Roman" w:eastAsia="宋体" w:cs="Times New Roman"/>
                <w:sz w:val="24"/>
                <w:szCs w:val="21"/>
              </w:rPr>
              <w:t>公众责任险</w:t>
            </w:r>
          </w:p>
        </w:tc>
      </w:tr>
      <w:tr w14:paraId="122D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07" w:type="dxa"/>
            <w:noWrap w:val="0"/>
            <w:vAlign w:val="center"/>
          </w:tcPr>
          <w:p w14:paraId="0F1548C1">
            <w:pPr>
              <w:snapToGrid w:val="0"/>
              <w:contextualSpacing/>
              <w:rPr>
                <w:rFonts w:ascii="Times New Roman" w:hAnsi="Times New Roman" w:eastAsia="宋体" w:cs="Times New Roman"/>
                <w:b/>
                <w:sz w:val="24"/>
                <w:szCs w:val="21"/>
              </w:rPr>
            </w:pPr>
            <w:r>
              <w:rPr>
                <w:rFonts w:ascii="Times New Roman" w:hAnsi="Times New Roman" w:eastAsia="宋体" w:cs="Times New Roman"/>
                <w:b/>
                <w:sz w:val="24"/>
                <w:szCs w:val="21"/>
              </w:rPr>
              <w:t>2、保险条款</w:t>
            </w:r>
          </w:p>
        </w:tc>
        <w:tc>
          <w:tcPr>
            <w:tcW w:w="7581" w:type="dxa"/>
            <w:noWrap w:val="0"/>
            <w:vAlign w:val="center"/>
          </w:tcPr>
          <w:p w14:paraId="6E50EB72">
            <w:pPr>
              <w:snapToGrid w:val="0"/>
              <w:contextualSpacing/>
              <w:rPr>
                <w:rFonts w:ascii="Times New Roman" w:hAnsi="Times New Roman" w:eastAsia="宋体" w:cs="Times New Roman"/>
                <w:color w:val="FF0000"/>
                <w:sz w:val="24"/>
                <w:szCs w:val="21"/>
              </w:rPr>
            </w:pPr>
            <w:r>
              <w:rPr>
                <w:rFonts w:hint="eastAsia" w:ascii="Times New Roman" w:hAnsi="Times New Roman" w:eastAsia="宋体" w:cs="Times New Roman"/>
                <w:sz w:val="24"/>
                <w:szCs w:val="21"/>
              </w:rPr>
              <w:t>保险人提供</w:t>
            </w:r>
          </w:p>
        </w:tc>
      </w:tr>
      <w:tr w14:paraId="2AD7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4CC3BA89">
            <w:pPr>
              <w:snapToGrid w:val="0"/>
              <w:contextualSpacing/>
              <w:rPr>
                <w:rFonts w:ascii="Times New Roman" w:hAnsi="Times New Roman" w:eastAsia="宋体" w:cs="Times New Roman"/>
                <w:b/>
                <w:sz w:val="24"/>
                <w:szCs w:val="21"/>
              </w:rPr>
            </w:pPr>
            <w:r>
              <w:rPr>
                <w:rFonts w:ascii="Times New Roman" w:hAnsi="Times New Roman" w:eastAsia="宋体" w:cs="Times New Roman"/>
                <w:b/>
                <w:sz w:val="24"/>
                <w:szCs w:val="21"/>
              </w:rPr>
              <w:t>3、投保人</w:t>
            </w:r>
          </w:p>
        </w:tc>
        <w:tc>
          <w:tcPr>
            <w:tcW w:w="7581" w:type="dxa"/>
            <w:noWrap w:val="0"/>
            <w:vAlign w:val="center"/>
          </w:tcPr>
          <w:p w14:paraId="55D6DCC8">
            <w:pPr>
              <w:snapToGrid w:val="0"/>
              <w:contextualSpacing/>
              <w:rPr>
                <w:rFonts w:ascii="Times New Roman" w:hAnsi="Times New Roman" w:eastAsia="宋体" w:cs="Times New Roman"/>
                <w:sz w:val="24"/>
                <w:szCs w:val="21"/>
              </w:rPr>
            </w:pPr>
            <w:r>
              <w:rPr>
                <w:rFonts w:ascii="Times New Roman" w:hAnsi="Times New Roman" w:eastAsia="宋体" w:cs="Times New Roman"/>
                <w:sz w:val="24"/>
              </w:rPr>
              <w:t>天津市津北水务有限公司</w:t>
            </w:r>
          </w:p>
        </w:tc>
      </w:tr>
      <w:tr w14:paraId="678E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7" w:type="dxa"/>
            <w:noWrap w:val="0"/>
            <w:vAlign w:val="center"/>
          </w:tcPr>
          <w:p w14:paraId="1F0C4EA7">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lang w:val="en-GB"/>
              </w:rPr>
              <w:t>4、被保险人</w:t>
            </w:r>
          </w:p>
        </w:tc>
        <w:tc>
          <w:tcPr>
            <w:tcW w:w="7581" w:type="dxa"/>
            <w:noWrap w:val="0"/>
            <w:vAlign w:val="center"/>
          </w:tcPr>
          <w:p w14:paraId="1FAD6879">
            <w:pPr>
              <w:snapToGrid w:val="0"/>
              <w:contextualSpacing/>
              <w:rPr>
                <w:rFonts w:ascii="Times New Roman" w:hAnsi="Times New Roman" w:eastAsia="宋体" w:cs="Times New Roman"/>
                <w:sz w:val="24"/>
                <w:szCs w:val="21"/>
              </w:rPr>
            </w:pPr>
            <w:r>
              <w:rPr>
                <w:rFonts w:ascii="Times New Roman" w:hAnsi="Times New Roman" w:eastAsia="宋体" w:cs="Times New Roman"/>
                <w:sz w:val="24"/>
              </w:rPr>
              <w:t>天津市津北水务有限公司</w:t>
            </w:r>
          </w:p>
        </w:tc>
      </w:tr>
      <w:tr w14:paraId="601A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07" w:type="dxa"/>
            <w:noWrap w:val="0"/>
            <w:vAlign w:val="center"/>
          </w:tcPr>
          <w:p w14:paraId="5BC6E0A0">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lang w:val="en-GB"/>
              </w:rPr>
              <w:t>5、保险期限</w:t>
            </w:r>
          </w:p>
        </w:tc>
        <w:tc>
          <w:tcPr>
            <w:tcW w:w="7581" w:type="dxa"/>
            <w:noWrap w:val="0"/>
            <w:vAlign w:val="center"/>
          </w:tcPr>
          <w:p w14:paraId="39D77A4D">
            <w:pPr>
              <w:snapToGrid w:val="0"/>
              <w:contextualSpacing/>
              <w:rPr>
                <w:rFonts w:ascii="Times New Roman" w:hAnsi="Times New Roman" w:eastAsia="宋体" w:cs="Times New Roman"/>
                <w:sz w:val="24"/>
                <w:szCs w:val="21"/>
              </w:rPr>
            </w:pPr>
            <w:r>
              <w:rPr>
                <w:rFonts w:hint="eastAsia" w:ascii="Times New Roman" w:hAnsi="Times New Roman" w:eastAsia="宋体" w:cs="Times New Roman"/>
                <w:sz w:val="24"/>
                <w:szCs w:val="21"/>
              </w:rPr>
              <w:t>自合同签订之日起1年</w:t>
            </w:r>
          </w:p>
        </w:tc>
      </w:tr>
      <w:tr w14:paraId="47D3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07" w:type="dxa"/>
            <w:noWrap w:val="0"/>
            <w:vAlign w:val="center"/>
          </w:tcPr>
          <w:p w14:paraId="6B0EA6C8">
            <w:pPr>
              <w:snapToGrid w:val="0"/>
              <w:contextualSpacing/>
              <w:rPr>
                <w:rFonts w:ascii="Times New Roman" w:hAnsi="Times New Roman" w:eastAsia="宋体" w:cs="Times New Roman"/>
                <w:b/>
                <w:caps/>
                <w:sz w:val="24"/>
                <w:szCs w:val="21"/>
              </w:rPr>
            </w:pPr>
            <w:r>
              <w:rPr>
                <w:rFonts w:ascii="Times New Roman" w:hAnsi="Times New Roman" w:eastAsia="宋体" w:cs="Times New Roman"/>
                <w:b/>
                <w:caps/>
                <w:sz w:val="24"/>
                <w:szCs w:val="21"/>
              </w:rPr>
              <w:t>6、保险责任</w:t>
            </w:r>
          </w:p>
        </w:tc>
        <w:tc>
          <w:tcPr>
            <w:tcW w:w="7581" w:type="dxa"/>
            <w:noWrap w:val="0"/>
            <w:vAlign w:val="center"/>
          </w:tcPr>
          <w:p w14:paraId="7BBFB5FF">
            <w:pPr>
              <w:snapToGrid w:val="0"/>
              <w:contextualSpacing/>
              <w:rPr>
                <w:rFonts w:ascii="Times New Roman" w:hAnsi="Times New Roman" w:eastAsia="宋体" w:cs="Times New Roman"/>
                <w:sz w:val="24"/>
                <w:szCs w:val="21"/>
              </w:rPr>
            </w:pPr>
            <w:r>
              <w:rPr>
                <w:rFonts w:hint="eastAsia" w:ascii="Times New Roman" w:hAnsi="Times New Roman" w:eastAsia="宋体" w:cs="Times New Roman"/>
                <w:bCs/>
                <w:caps/>
                <w:sz w:val="24"/>
                <w:szCs w:val="21"/>
              </w:rPr>
              <w:t>天津市津北水务有限公司投保范围</w:t>
            </w:r>
            <w:r>
              <w:rPr>
                <w:rFonts w:ascii="Times New Roman" w:hAnsi="Times New Roman" w:eastAsia="宋体" w:cs="Times New Roman"/>
                <w:bCs/>
                <w:caps/>
                <w:sz w:val="24"/>
                <w:szCs w:val="21"/>
              </w:rPr>
              <w:t>内</w:t>
            </w:r>
            <w:r>
              <w:rPr>
                <w:rFonts w:hint="eastAsia" w:ascii="Times New Roman" w:hAnsi="Times New Roman" w:eastAsia="宋体" w:cs="Times New Roman"/>
                <w:bCs/>
                <w:caps/>
                <w:sz w:val="24"/>
                <w:szCs w:val="21"/>
              </w:rPr>
              <w:t>包括（但不限于）污水处理场站井盖及管网井盖造成的第三者人身伤亡及财产损失</w:t>
            </w:r>
            <w:r>
              <w:rPr>
                <w:rFonts w:ascii="Times New Roman" w:hAnsi="Times New Roman" w:eastAsia="宋体" w:cs="Times New Roman"/>
                <w:bCs/>
                <w:caps/>
                <w:sz w:val="24"/>
                <w:szCs w:val="21"/>
              </w:rPr>
              <w:t>。</w:t>
            </w:r>
          </w:p>
        </w:tc>
      </w:tr>
      <w:tr w14:paraId="3E04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105F26AD">
            <w:pPr>
              <w:snapToGrid w:val="0"/>
              <w:contextualSpacing/>
              <w:rPr>
                <w:rFonts w:ascii="Times New Roman" w:hAnsi="Times New Roman" w:eastAsia="宋体" w:cs="Times New Roman"/>
                <w:b/>
                <w:caps/>
                <w:sz w:val="24"/>
                <w:szCs w:val="21"/>
                <w:lang w:val="en-GB"/>
              </w:rPr>
            </w:pPr>
            <w:r>
              <w:rPr>
                <w:rFonts w:ascii="Times New Roman" w:hAnsi="Times New Roman" w:eastAsia="宋体" w:cs="Times New Roman"/>
                <w:b/>
                <w:caps/>
                <w:sz w:val="24"/>
                <w:szCs w:val="21"/>
              </w:rPr>
              <w:t>7、赔付金额</w:t>
            </w:r>
          </w:p>
        </w:tc>
        <w:tc>
          <w:tcPr>
            <w:tcW w:w="7581" w:type="dxa"/>
            <w:noWrap w:val="0"/>
            <w:vAlign w:val="center"/>
          </w:tcPr>
          <w:p w14:paraId="15CB2EA4">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（1）累计责任限额：1000万；</w:t>
            </w:r>
          </w:p>
          <w:p w14:paraId="7A0C0475">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（2）每次事故责任限额：</w:t>
            </w:r>
            <w:r>
              <w:rPr>
                <w:rFonts w:hint="eastAsia" w:ascii="Times New Roman" w:hAnsi="Times New Roman" w:eastAsia="宋体" w:cs="Times New Roman"/>
                <w:sz w:val="24"/>
                <w:szCs w:val="21"/>
                <w:lang w:val="en-US" w:eastAsia="zh-CN"/>
              </w:rPr>
              <w:t>60</w:t>
            </w:r>
            <w:r>
              <w:rPr>
                <w:rFonts w:hint="eastAsia" w:ascii="Times New Roman" w:hAnsi="Times New Roman" w:eastAsia="宋体" w:cs="Times New Roman"/>
                <w:sz w:val="24"/>
                <w:szCs w:val="21"/>
              </w:rPr>
              <w:t>万；</w:t>
            </w:r>
          </w:p>
          <w:p w14:paraId="399467E0">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（3）每次事故人身伤亡责任限额：50万；</w:t>
            </w:r>
          </w:p>
          <w:p w14:paraId="7C72D92F">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（4）每次事故财产损失责任限额：</w:t>
            </w:r>
            <w:r>
              <w:rPr>
                <w:rFonts w:hint="eastAsia" w:ascii="Times New Roman" w:hAnsi="Times New Roman" w:eastAsia="宋体" w:cs="Times New Roman"/>
                <w:sz w:val="24"/>
                <w:szCs w:val="21"/>
                <w:lang w:val="en-US" w:eastAsia="zh-CN"/>
              </w:rPr>
              <w:t>10</w:t>
            </w:r>
            <w:r>
              <w:rPr>
                <w:rFonts w:hint="eastAsia" w:ascii="Times New Roman" w:hAnsi="Times New Roman" w:eastAsia="宋体" w:cs="Times New Roman"/>
                <w:sz w:val="24"/>
                <w:szCs w:val="21"/>
              </w:rPr>
              <w:t>万；</w:t>
            </w:r>
          </w:p>
          <w:p w14:paraId="653A0A1C">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（5）每次事故每人人身伤亡责任限额：50万元；</w:t>
            </w:r>
          </w:p>
          <w:p w14:paraId="1D8E8DF8">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（6）每次事故每人财产损失责任限额：</w:t>
            </w:r>
            <w:r>
              <w:rPr>
                <w:rFonts w:hint="eastAsia" w:ascii="Times New Roman" w:hAnsi="Times New Roman" w:eastAsia="宋体" w:cs="Times New Roman"/>
                <w:sz w:val="24"/>
                <w:szCs w:val="21"/>
                <w:lang w:val="en-US" w:eastAsia="zh-CN"/>
              </w:rPr>
              <w:t>10</w:t>
            </w:r>
            <w:r>
              <w:rPr>
                <w:rFonts w:hint="eastAsia" w:ascii="Times New Roman" w:hAnsi="Times New Roman" w:eastAsia="宋体" w:cs="Times New Roman"/>
                <w:sz w:val="24"/>
                <w:szCs w:val="21"/>
              </w:rPr>
              <w:t>万元；</w:t>
            </w:r>
          </w:p>
          <w:p w14:paraId="50A0EC10">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（7）施救费用累计赔偿金额：</w:t>
            </w:r>
            <w:r>
              <w:rPr>
                <w:rFonts w:hint="eastAsia" w:ascii="Times New Roman" w:hAnsi="Times New Roman" w:eastAsia="宋体" w:cs="Times New Roman"/>
                <w:sz w:val="24"/>
                <w:szCs w:val="21"/>
                <w:lang w:val="en-US" w:eastAsia="zh-CN"/>
              </w:rPr>
              <w:t>1</w:t>
            </w:r>
            <w:r>
              <w:rPr>
                <w:rFonts w:hint="eastAsia" w:ascii="Times New Roman" w:hAnsi="Times New Roman" w:eastAsia="宋体" w:cs="Times New Roman"/>
                <w:sz w:val="24"/>
                <w:szCs w:val="21"/>
              </w:rPr>
              <w:t>0万元；</w:t>
            </w:r>
          </w:p>
          <w:p w14:paraId="2267FBB5">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（8）法律费用累计赔偿金额：10万元；</w:t>
            </w:r>
          </w:p>
          <w:p w14:paraId="09F20C44">
            <w:pPr>
              <w:snapToGrid w:val="0"/>
              <w:contextualSpacing/>
              <w:rPr>
                <w:rFonts w:hint="eastAsia" w:ascii="Times New Roman" w:hAnsi="Times New Roman" w:eastAsia="宋体" w:cs="Times New Roman"/>
                <w:sz w:val="24"/>
                <w:szCs w:val="21"/>
              </w:rPr>
            </w:pPr>
            <w:r>
              <w:rPr>
                <w:rFonts w:hint="eastAsia" w:ascii="Times New Roman" w:hAnsi="Times New Roman" w:eastAsia="宋体" w:cs="Times New Roman"/>
                <w:sz w:val="24"/>
                <w:szCs w:val="21"/>
              </w:rPr>
              <w:t>（9）每次事故施救费用赔偿金额：1万元；</w:t>
            </w:r>
          </w:p>
          <w:p w14:paraId="2015E6DE">
            <w:pPr>
              <w:snapToGrid w:val="0"/>
              <w:contextualSpacing/>
              <w:rPr>
                <w:rFonts w:ascii="Times New Roman" w:hAnsi="Times New Roman" w:eastAsia="宋体" w:cs="Times New Roman"/>
                <w:sz w:val="24"/>
                <w:szCs w:val="21"/>
              </w:rPr>
            </w:pPr>
            <w:r>
              <w:rPr>
                <w:rFonts w:hint="eastAsia" w:ascii="Times New Roman" w:hAnsi="Times New Roman" w:eastAsia="宋体" w:cs="Times New Roman"/>
                <w:sz w:val="24"/>
                <w:szCs w:val="21"/>
              </w:rPr>
              <w:t>（10）每次事故法律费用：1万元。</w:t>
            </w:r>
          </w:p>
        </w:tc>
      </w:tr>
      <w:tr w14:paraId="3275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7F8B25B7">
            <w:pPr>
              <w:snapToGrid w:val="0"/>
              <w:contextualSpacing/>
              <w:rPr>
                <w:rFonts w:hint="eastAsia" w:ascii="Times New Roman" w:hAnsi="Times New Roman" w:eastAsia="宋体" w:cs="Times New Roman"/>
                <w:b/>
                <w:caps/>
                <w:sz w:val="24"/>
                <w:szCs w:val="21"/>
              </w:rPr>
            </w:pPr>
            <w:r>
              <w:rPr>
                <w:rFonts w:ascii="Times New Roman" w:hAnsi="Times New Roman" w:eastAsia="宋体" w:cs="Times New Roman"/>
                <w:b/>
                <w:caps/>
                <w:sz w:val="24"/>
                <w:szCs w:val="21"/>
              </w:rPr>
              <w:t>8、特别约定</w:t>
            </w:r>
          </w:p>
        </w:tc>
        <w:tc>
          <w:tcPr>
            <w:tcW w:w="7581" w:type="dxa"/>
            <w:noWrap w:val="0"/>
            <w:vAlign w:val="center"/>
          </w:tcPr>
          <w:p w14:paraId="49D6B11A">
            <w:pPr>
              <w:snapToGrid w:val="0"/>
              <w:contextualSpacing/>
              <w:rPr>
                <w:rFonts w:hint="eastAsia" w:ascii="Times New Roman" w:hAnsi="Times New Roman" w:eastAsia="宋体" w:cs="Times New Roman"/>
                <w:caps/>
                <w:sz w:val="24"/>
                <w:szCs w:val="21"/>
                <w:lang w:eastAsia="zh-CN"/>
              </w:rPr>
            </w:pPr>
            <w:r>
              <w:rPr>
                <w:rFonts w:hint="eastAsia" w:ascii="Times New Roman" w:hAnsi="Times New Roman" w:eastAsia="宋体" w:cs="Times New Roman"/>
                <w:caps/>
                <w:sz w:val="24"/>
                <w:szCs w:val="21"/>
                <w:lang w:eastAsia="zh-CN"/>
              </w:rPr>
              <w:t>（</w:t>
            </w:r>
            <w:r>
              <w:rPr>
                <w:rFonts w:hint="eastAsia" w:ascii="Times New Roman" w:hAnsi="Times New Roman" w:eastAsia="宋体" w:cs="Times New Roman"/>
                <w:caps/>
                <w:sz w:val="24"/>
                <w:szCs w:val="21"/>
                <w:lang w:val="en-US" w:eastAsia="zh-CN"/>
              </w:rPr>
              <w:t>1</w:t>
            </w:r>
            <w:r>
              <w:rPr>
                <w:rFonts w:hint="eastAsia" w:ascii="Times New Roman" w:hAnsi="Times New Roman" w:eastAsia="宋体" w:cs="Times New Roman"/>
                <w:caps/>
                <w:sz w:val="24"/>
                <w:szCs w:val="21"/>
                <w:lang w:eastAsia="zh-CN"/>
              </w:rPr>
              <w:t>）</w:t>
            </w:r>
            <w:r>
              <w:rPr>
                <w:rFonts w:hint="eastAsia" w:ascii="Times New Roman" w:hAnsi="Times New Roman" w:eastAsia="宋体" w:cs="Times New Roman"/>
                <w:caps/>
                <w:sz w:val="24"/>
                <w:szCs w:val="21"/>
              </w:rPr>
              <w:t>本保险包含投保地址范围内投保人所拥有的污水处理场站井盖及管网井盖造成的第三者人身伤亡及财产损失</w:t>
            </w:r>
            <w:r>
              <w:rPr>
                <w:rFonts w:hint="eastAsia" w:ascii="Times New Roman" w:hAnsi="Times New Roman" w:eastAsia="宋体" w:cs="Times New Roman"/>
                <w:caps/>
                <w:sz w:val="24"/>
                <w:szCs w:val="21"/>
                <w:lang w:eastAsia="zh-CN"/>
              </w:rPr>
              <w:t>；</w:t>
            </w:r>
          </w:p>
          <w:p w14:paraId="04374556">
            <w:pPr>
              <w:snapToGrid w:val="0"/>
              <w:contextualSpacing/>
              <w:rPr>
                <w:rFonts w:hint="default" w:ascii="Times New Roman" w:hAnsi="Times New Roman" w:eastAsia="宋体" w:cs="Times New Roman"/>
                <w:caps/>
                <w:sz w:val="24"/>
                <w:szCs w:val="21"/>
                <w:lang w:val="en-US" w:eastAsia="zh-CN"/>
              </w:rPr>
            </w:pPr>
            <w:r>
              <w:rPr>
                <w:rFonts w:hint="eastAsia" w:ascii="Times New Roman" w:hAnsi="Times New Roman" w:eastAsia="宋体" w:cs="Times New Roman"/>
                <w:caps/>
                <w:sz w:val="24"/>
                <w:szCs w:val="21"/>
                <w:lang w:eastAsia="zh-CN"/>
              </w:rPr>
              <w:t>（</w:t>
            </w:r>
            <w:r>
              <w:rPr>
                <w:rFonts w:hint="eastAsia" w:ascii="Times New Roman" w:hAnsi="Times New Roman" w:eastAsia="宋体" w:cs="Times New Roman"/>
                <w:caps/>
                <w:sz w:val="24"/>
                <w:szCs w:val="21"/>
                <w:lang w:val="en-US" w:eastAsia="zh-CN"/>
              </w:rPr>
              <w:t>2</w:t>
            </w:r>
            <w:r>
              <w:rPr>
                <w:rFonts w:hint="eastAsia" w:ascii="Times New Roman" w:hAnsi="Times New Roman" w:eastAsia="宋体" w:cs="Times New Roman"/>
                <w:caps/>
                <w:sz w:val="24"/>
                <w:szCs w:val="21"/>
                <w:lang w:eastAsia="zh-CN"/>
              </w:rPr>
              <w:t>）</w:t>
            </w:r>
            <w:r>
              <w:rPr>
                <w:rFonts w:hint="eastAsia" w:ascii="Times New Roman" w:hAnsi="Times New Roman" w:eastAsia="宋体" w:cs="Times New Roman"/>
                <w:caps/>
                <w:sz w:val="24"/>
                <w:szCs w:val="21"/>
                <w:lang w:val="en-US" w:eastAsia="zh-CN"/>
              </w:rPr>
              <w:t>承包区域：天津市津北水务有限公司污水处理管辖范围：双口镇、西堤头镇。</w:t>
            </w:r>
          </w:p>
        </w:tc>
      </w:tr>
      <w:tr w14:paraId="5355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6C7C939F">
            <w:pPr>
              <w:snapToGrid w:val="0"/>
              <w:contextualSpacing/>
              <w:rPr>
                <w:rFonts w:ascii="Times New Roman" w:hAnsi="Times New Roman" w:eastAsia="宋体" w:cs="Times New Roman"/>
                <w:b/>
                <w:caps/>
                <w:sz w:val="24"/>
                <w:szCs w:val="21"/>
              </w:rPr>
            </w:pPr>
            <w:r>
              <w:rPr>
                <w:rFonts w:hint="eastAsia" w:ascii="Times New Roman" w:hAnsi="Times New Roman" w:eastAsia="宋体" w:cs="Times New Roman"/>
                <w:b/>
                <w:caps/>
                <w:sz w:val="24"/>
                <w:szCs w:val="21"/>
              </w:rPr>
              <w:t>9、附加险条款</w:t>
            </w:r>
          </w:p>
        </w:tc>
        <w:tc>
          <w:tcPr>
            <w:tcW w:w="7581" w:type="dxa"/>
            <w:noWrap w:val="0"/>
            <w:vAlign w:val="center"/>
          </w:tcPr>
          <w:p w14:paraId="6D93A3F0">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（1）</w:t>
            </w:r>
            <w:r>
              <w:rPr>
                <w:rFonts w:hint="eastAsia" w:ascii="Times New Roman" w:hAnsi="Times New Roman" w:eastAsia="宋体" w:cs="Times New Roman"/>
                <w:caps/>
                <w:sz w:val="24"/>
                <w:szCs w:val="21"/>
              </w:rPr>
              <w:t>附加罢工、暴乱、民众骚乱及恶意破坏保险（每次事故赔偿限额100万）；</w:t>
            </w:r>
          </w:p>
          <w:p w14:paraId="5A2752C1">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2</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附加急救费用保险（每次事故赔偿限额100万）；</w:t>
            </w:r>
          </w:p>
          <w:p w14:paraId="4B73570C">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3</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附加灭火费用保险（每次事故赔偿限额100万）；</w:t>
            </w:r>
          </w:p>
          <w:p w14:paraId="4F9AD487">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4</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附加错误和遗漏保险；</w:t>
            </w:r>
          </w:p>
          <w:p w14:paraId="3C37C71D">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5</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附加交叉责任保险；</w:t>
            </w:r>
          </w:p>
          <w:p w14:paraId="108D47C8">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6</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附加不受控制保险；</w:t>
            </w:r>
          </w:p>
          <w:p w14:paraId="698A7A3A">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7</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附加火灾或爆炸责任保险（累计和每次事故赔偿限额均为100万）；</w:t>
            </w:r>
          </w:p>
          <w:p w14:paraId="6D267320">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8</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附加施救费用保险（每次事故赔偿限额100万）；</w:t>
            </w:r>
          </w:p>
          <w:p w14:paraId="6B4FFF99">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9</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附加索赔费用保险；</w:t>
            </w:r>
          </w:p>
          <w:p w14:paraId="56B58803">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10</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附加预付赔款保险（60%）；</w:t>
            </w:r>
          </w:p>
          <w:p w14:paraId="503D8708">
            <w:pPr>
              <w:snapToGrid w:val="0"/>
              <w:contextualSpacing/>
              <w:rPr>
                <w:rFonts w:hint="eastAsia" w:ascii="Times New Roman" w:hAnsi="Times New Roman" w:eastAsia="宋体" w:cs="Times New Roman"/>
                <w:caps/>
                <w:sz w:val="24"/>
                <w:szCs w:val="21"/>
              </w:rPr>
            </w:pP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11</w:t>
            </w:r>
            <w:r>
              <w:rPr>
                <w:rFonts w:hint="eastAsia" w:ascii="Times New Roman" w:hAnsi="Times New Roman" w:eastAsia="宋体" w:cs="Times New Roman"/>
                <w:sz w:val="24"/>
                <w:szCs w:val="21"/>
              </w:rPr>
              <w:t>）</w:t>
            </w:r>
            <w:r>
              <w:rPr>
                <w:rFonts w:hint="eastAsia" w:ascii="Times New Roman" w:hAnsi="Times New Roman" w:eastAsia="宋体" w:cs="Times New Roman"/>
                <w:caps/>
                <w:sz w:val="24"/>
                <w:szCs w:val="21"/>
              </w:rPr>
              <w:t>附加放弃代位追偿保险。</w:t>
            </w:r>
          </w:p>
        </w:tc>
      </w:tr>
      <w:tr w14:paraId="13D7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7" w:type="dxa"/>
            <w:noWrap w:val="0"/>
            <w:vAlign w:val="center"/>
          </w:tcPr>
          <w:p w14:paraId="441A9E96">
            <w:pPr>
              <w:snapToGrid w:val="0"/>
              <w:contextualSpacing/>
              <w:rPr>
                <w:rFonts w:ascii="Times New Roman" w:hAnsi="Times New Roman" w:eastAsia="宋体" w:cs="Times New Roman"/>
                <w:b/>
                <w:caps/>
                <w:sz w:val="24"/>
                <w:szCs w:val="21"/>
                <w:lang w:val="en-GB"/>
              </w:rPr>
            </w:pPr>
            <w:r>
              <w:rPr>
                <w:rFonts w:hint="eastAsia" w:ascii="Times New Roman" w:hAnsi="Times New Roman" w:eastAsia="宋体" w:cs="Times New Roman"/>
                <w:b/>
                <w:caps/>
                <w:sz w:val="24"/>
                <w:szCs w:val="21"/>
              </w:rPr>
              <w:t>10</w:t>
            </w:r>
            <w:r>
              <w:rPr>
                <w:rFonts w:ascii="Times New Roman" w:hAnsi="Times New Roman" w:eastAsia="宋体" w:cs="Times New Roman"/>
                <w:b/>
                <w:caps/>
                <w:sz w:val="24"/>
                <w:szCs w:val="21"/>
                <w:lang w:val="en-GB"/>
              </w:rPr>
              <w:t>、免赔额</w:t>
            </w:r>
          </w:p>
        </w:tc>
        <w:tc>
          <w:tcPr>
            <w:tcW w:w="7581" w:type="dxa"/>
            <w:noWrap w:val="0"/>
            <w:vAlign w:val="center"/>
          </w:tcPr>
          <w:p w14:paraId="51629404">
            <w:pPr>
              <w:snapToGrid w:val="0"/>
              <w:contextualSpacing/>
              <w:rPr>
                <w:rFonts w:ascii="Times New Roman" w:hAnsi="Times New Roman" w:eastAsia="宋体" w:cs="Times New Roman"/>
                <w:caps/>
                <w:sz w:val="24"/>
                <w:szCs w:val="21"/>
              </w:rPr>
            </w:pPr>
            <w:r>
              <w:rPr>
                <w:rFonts w:hint="eastAsia" w:ascii="Times New Roman" w:hAnsi="Times New Roman" w:eastAsia="宋体" w:cs="Times New Roman"/>
                <w:caps/>
                <w:sz w:val="24"/>
                <w:szCs w:val="21"/>
              </w:rPr>
              <w:t>财产损失每次事故绝对免赔额为RMB500元或损失金额的10%，二者取高；人伤无免赔。</w:t>
            </w:r>
          </w:p>
        </w:tc>
      </w:tr>
      <w:tr w14:paraId="339C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7" w:type="dxa"/>
            <w:noWrap w:val="0"/>
            <w:vAlign w:val="center"/>
          </w:tcPr>
          <w:p w14:paraId="16224093">
            <w:pPr>
              <w:snapToGrid w:val="0"/>
              <w:contextualSpacing/>
              <w:rPr>
                <w:rFonts w:ascii="Times New Roman" w:hAnsi="Times New Roman" w:eastAsia="宋体" w:cs="Times New Roman"/>
                <w:b/>
                <w:caps/>
                <w:sz w:val="24"/>
                <w:szCs w:val="21"/>
              </w:rPr>
            </w:pPr>
            <w:r>
              <w:rPr>
                <w:rFonts w:ascii="Times New Roman" w:hAnsi="Times New Roman" w:eastAsia="宋体" w:cs="Times New Roman"/>
                <w:b/>
                <w:caps/>
                <w:sz w:val="24"/>
                <w:szCs w:val="21"/>
              </w:rPr>
              <w:t>1</w:t>
            </w:r>
            <w:r>
              <w:rPr>
                <w:rFonts w:hint="eastAsia" w:ascii="Times New Roman" w:hAnsi="Times New Roman" w:eastAsia="宋体" w:cs="Times New Roman"/>
                <w:b/>
                <w:caps/>
                <w:sz w:val="24"/>
                <w:szCs w:val="21"/>
              </w:rPr>
              <w:t>1</w:t>
            </w:r>
            <w:r>
              <w:rPr>
                <w:rFonts w:ascii="Times New Roman" w:hAnsi="Times New Roman" w:eastAsia="宋体" w:cs="Times New Roman"/>
                <w:b/>
                <w:caps/>
                <w:sz w:val="24"/>
                <w:szCs w:val="21"/>
              </w:rPr>
              <w:t>、司法管辖</w:t>
            </w:r>
          </w:p>
        </w:tc>
        <w:tc>
          <w:tcPr>
            <w:tcW w:w="7581" w:type="dxa"/>
            <w:noWrap w:val="0"/>
            <w:vAlign w:val="center"/>
          </w:tcPr>
          <w:p w14:paraId="64B28A08">
            <w:pPr>
              <w:snapToGrid w:val="0"/>
              <w:contextualSpacing/>
              <w:rPr>
                <w:rFonts w:ascii="Times New Roman" w:hAnsi="Times New Roman" w:eastAsia="宋体" w:cs="Times New Roman"/>
                <w:sz w:val="24"/>
                <w:szCs w:val="21"/>
              </w:rPr>
            </w:pPr>
            <w:r>
              <w:rPr>
                <w:rFonts w:ascii="Times New Roman" w:hAnsi="Times New Roman" w:eastAsia="宋体" w:cs="Times New Roman"/>
                <w:bCs/>
                <w:sz w:val="24"/>
                <w:szCs w:val="21"/>
                <w:lang w:val="en-GB"/>
              </w:rPr>
              <w:t>中华人民共和国的司法管辖（港澳台除外）</w:t>
            </w:r>
          </w:p>
        </w:tc>
      </w:tr>
      <w:tr w14:paraId="5B66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noWrap w:val="0"/>
            <w:vAlign w:val="center"/>
          </w:tcPr>
          <w:p w14:paraId="418F8F2A">
            <w:pPr>
              <w:snapToGrid w:val="0"/>
              <w:contextualSpacing/>
              <w:rPr>
                <w:rFonts w:ascii="Times New Roman" w:hAnsi="Times New Roman" w:eastAsia="宋体" w:cs="Times New Roman"/>
                <w:b/>
                <w:caps/>
                <w:sz w:val="24"/>
                <w:szCs w:val="21"/>
              </w:rPr>
            </w:pPr>
            <w:r>
              <w:rPr>
                <w:rFonts w:ascii="Times New Roman" w:hAnsi="Times New Roman" w:eastAsia="宋体" w:cs="Times New Roman"/>
                <w:b/>
                <w:caps/>
                <w:sz w:val="24"/>
                <w:szCs w:val="21"/>
              </w:rPr>
              <w:t>1</w:t>
            </w:r>
            <w:r>
              <w:rPr>
                <w:rFonts w:hint="eastAsia" w:ascii="Times New Roman" w:hAnsi="Times New Roman" w:eastAsia="宋体" w:cs="Times New Roman"/>
                <w:b/>
                <w:caps/>
                <w:sz w:val="24"/>
                <w:szCs w:val="21"/>
              </w:rPr>
              <w:t>2</w:t>
            </w:r>
            <w:r>
              <w:rPr>
                <w:rFonts w:ascii="Times New Roman" w:hAnsi="Times New Roman" w:eastAsia="宋体" w:cs="Times New Roman"/>
                <w:b/>
                <w:caps/>
                <w:sz w:val="24"/>
                <w:szCs w:val="21"/>
              </w:rPr>
              <w:t>、保费支付方式</w:t>
            </w:r>
          </w:p>
        </w:tc>
        <w:tc>
          <w:tcPr>
            <w:tcW w:w="7581" w:type="dxa"/>
            <w:noWrap w:val="0"/>
            <w:vAlign w:val="center"/>
          </w:tcPr>
          <w:p w14:paraId="5C492CC0">
            <w:pPr>
              <w:kinsoku w:val="0"/>
              <w:overflowPunct w:val="0"/>
              <w:autoSpaceDE w:val="0"/>
              <w:autoSpaceDN w:val="0"/>
              <w:adjustRightInd w:val="0"/>
              <w:snapToGrid w:val="0"/>
              <w:contextualSpacing/>
              <w:rPr>
                <w:rFonts w:ascii="Times New Roman" w:hAnsi="Times New Roman" w:eastAsia="宋体" w:cs="Times New Roman"/>
                <w:sz w:val="24"/>
                <w:szCs w:val="21"/>
                <w:u w:val="single"/>
              </w:rPr>
            </w:pPr>
            <w:r>
              <w:rPr>
                <w:rFonts w:hint="eastAsia" w:ascii="Times New Roman" w:hAnsi="Times New Roman" w:eastAsia="宋体" w:cs="Times New Roman"/>
                <w:sz w:val="24"/>
                <w:szCs w:val="21"/>
              </w:rPr>
              <w:t>在保单正式签发后，保费由被保险人一次性支付给承保人</w:t>
            </w:r>
          </w:p>
        </w:tc>
      </w:tr>
    </w:tbl>
    <w:p w14:paraId="16B400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F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2026-05-19T07:37:33Z</dcterms:created>
  <dc:creator>75762</dc:creator>
  <cp:lastModifiedBy>胡婧雯</cp:lastModifiedBy>
  <dcterms:modified xsi:type="dcterms:W3CDTF">2026-05-19T07:38:08Z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eyJoZGlkIjoiOTg0OWNiZTFlYmYwMGYwOTczNTNmYmM0ZmNhZWRkZjEiLCJ1c2VySWQiOiIxNjc0MTcxMzk1In0=</vt:lpwstr>
  </property>
  <property fmtid="{D5CDD505-2E9C-101B-9397-08002B2CF9AE}" pid="4" name="ICV">
    <vt:lpwstr>305F40689E0E4F92A6BFC9E0A32D7D8E_12</vt:lpwstr>
  </property>
</Properties>
</file>