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EFF12">
      <w:pPr>
        <w:jc w:val="center"/>
        <w:rPr>
          <w:rFonts w:hint="default" w:ascii="微软雅黑" w:hAnsi="微软雅黑" w:eastAsia="微软雅黑"/>
          <w:color w:val="auto"/>
          <w:sz w:val="32"/>
          <w:szCs w:val="32"/>
          <w:highlight w:val="none"/>
          <w:lang w:val="en-US" w:eastAsia="zh-CN"/>
        </w:rPr>
      </w:pPr>
      <w:r>
        <w:rPr>
          <w:rStyle w:val="17"/>
          <w:rFonts w:hint="eastAsia" w:ascii="微软雅黑" w:hAnsi="微软雅黑" w:eastAsia="微软雅黑"/>
          <w:color w:val="auto"/>
          <w:sz w:val="32"/>
          <w:szCs w:val="32"/>
          <w:highlight w:val="none"/>
          <w:lang w:eastAsia="zh-CN"/>
        </w:rPr>
        <w:t>天津用水报装管理系统水务集团模块维护服务</w:t>
      </w:r>
      <w:r>
        <w:rPr>
          <w:rStyle w:val="17"/>
          <w:rFonts w:hint="eastAsia" w:ascii="微软雅黑" w:hAnsi="微软雅黑" w:eastAsia="微软雅黑"/>
          <w:color w:val="auto"/>
          <w:sz w:val="32"/>
          <w:szCs w:val="32"/>
          <w:highlight w:val="none"/>
          <w:lang w:val="en-US" w:eastAsia="zh-CN"/>
        </w:rPr>
        <w:t>邀请函</w:t>
      </w:r>
    </w:p>
    <w:p w14:paraId="22FAED32">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项目需求：</w:t>
      </w:r>
      <w:bookmarkStart w:id="0" w:name="_Hlk155278035"/>
    </w:p>
    <w:p w14:paraId="42F25FFD">
      <w:pPr>
        <w:pStyle w:val="21"/>
        <w:numPr>
          <w:ilvl w:val="-1"/>
          <w:numId w:val="0"/>
        </w:numPr>
        <w:spacing w:line="480" w:lineRule="exact"/>
        <w:ind w:left="420" w:leftChars="0" w:firstLine="480" w:firstLineChars="200"/>
        <w:contextualSpacing/>
        <w:rPr>
          <w:rFonts w:hint="eastAsia"/>
          <w:color w:val="auto"/>
          <w:highlight w:val="none"/>
        </w:rPr>
      </w:pPr>
      <w:r>
        <w:rPr>
          <w:rFonts w:hint="eastAsia"/>
          <w:color w:val="auto"/>
          <w:highlight w:val="none"/>
        </w:rPr>
        <w:t>（</w:t>
      </w:r>
      <w:r>
        <w:rPr>
          <w:rFonts w:hint="eastAsia"/>
          <w:color w:val="auto"/>
          <w:highlight w:val="none"/>
          <w:lang w:eastAsia="zh-CN"/>
        </w:rPr>
        <w:t>SW-ZB-F-2026-0017</w:t>
      </w:r>
      <w:r>
        <w:rPr>
          <w:rFonts w:hint="eastAsia"/>
          <w:color w:val="auto"/>
          <w:highlight w:val="none"/>
        </w:rPr>
        <w:t>）</w:t>
      </w:r>
      <w:bookmarkEnd w:id="0"/>
      <w:r>
        <w:rPr>
          <w:rFonts w:hint="eastAsia"/>
          <w:color w:val="auto"/>
          <w:highlight w:val="none"/>
          <w:lang w:eastAsia="zh-CN"/>
        </w:rPr>
        <w:t>根据市水文水资源中心《关于规范信息系统权限和接口维护工作的函》的相关要求,为保障集团相关业务在 “ 天津市用水报装管理系统 ” 及津心办 APP 报修模块对接中的稳定、高效运行,现对天津水务集团有限公司的系统权限及接口进行运维服务。</w:t>
      </w:r>
      <w:r>
        <w:rPr>
          <w:rFonts w:hint="eastAsia"/>
          <w:color w:val="auto"/>
          <w:highlight w:val="none"/>
          <w:lang w:val="en-US" w:eastAsia="zh-CN"/>
        </w:rPr>
        <w:t>具体详见</w:t>
      </w:r>
      <w:r>
        <w:rPr>
          <w:rFonts w:hint="eastAsia"/>
          <w:color w:val="auto"/>
          <w:highlight w:val="none"/>
        </w:rPr>
        <w:t>天津市用水报装管理系统天津水务集团相关模块运维服务需求方案</w:t>
      </w:r>
      <w:r>
        <w:rPr>
          <w:rFonts w:hint="eastAsia"/>
          <w:color w:val="auto"/>
          <w:highlight w:val="none"/>
          <w:lang w:eastAsia="zh-CN"/>
        </w:rPr>
        <w:t>。</w:t>
      </w:r>
    </w:p>
    <w:p w14:paraId="0C70B497">
      <w:pPr>
        <w:pStyle w:val="21"/>
        <w:numPr>
          <w:ilvl w:val="0"/>
          <w:numId w:val="1"/>
        </w:numPr>
        <w:spacing w:after="0" w:afterAutospacing="0" w:line="480" w:lineRule="exact"/>
        <w:ind w:left="0" w:firstLine="424" w:firstLineChars="177"/>
        <w:contextualSpacing/>
        <w:rPr>
          <w:color w:val="auto"/>
          <w:highlight w:val="none"/>
        </w:rPr>
      </w:pPr>
      <w:r>
        <w:rPr>
          <w:rFonts w:hint="eastAsia"/>
          <w:color w:val="auto"/>
          <w:highlight w:val="none"/>
        </w:rPr>
        <w:t>资格要求：</w:t>
      </w:r>
    </w:p>
    <w:p w14:paraId="47159735">
      <w:pPr>
        <w:pStyle w:val="11"/>
        <w:numPr>
          <w:ilvl w:val="0"/>
          <w:numId w:val="2"/>
        </w:numPr>
        <w:spacing w:before="0" w:beforeAutospacing="0" w:after="0" w:line="480" w:lineRule="exact"/>
        <w:contextualSpacing/>
        <w:rPr>
          <w:color w:val="auto"/>
          <w:highlight w:val="none"/>
        </w:rPr>
      </w:pPr>
      <w:bookmarkStart w:id="1" w:name="_Hlk155278269"/>
      <w:r>
        <w:rPr>
          <w:rFonts w:hint="eastAsia"/>
          <w:color w:val="auto"/>
          <w:highlight w:val="none"/>
          <w:lang w:bidi="ar"/>
        </w:rPr>
        <w:t>具有营业执照副本或事业单位法人证书或民办非企业单位登记证书或社会团体法人登记证书或基金会法人登记证书，并在有效期内；</w:t>
      </w:r>
    </w:p>
    <w:p w14:paraId="67FDA643">
      <w:pPr>
        <w:pStyle w:val="11"/>
        <w:numPr>
          <w:ilvl w:val="0"/>
          <w:numId w:val="2"/>
        </w:numPr>
        <w:spacing w:before="0" w:after="0" w:line="480" w:lineRule="exact"/>
        <w:contextualSpacing/>
        <w:rPr>
          <w:color w:val="auto"/>
          <w:highlight w:val="none"/>
        </w:rPr>
      </w:pPr>
      <w:r>
        <w:rPr>
          <w:rFonts w:hint="eastAsia"/>
          <w:color w:val="auto"/>
          <w:highlight w:val="none"/>
          <w:lang w:bidi="ar"/>
        </w:rPr>
        <w:t>在“信用中国”网站(https://www.creditchina.gov.cn/)查询严重失信主体名单，未被列入名单并将查询结果截图加盖单位公章，见附图；</w:t>
      </w:r>
    </w:p>
    <w:p w14:paraId="4A7D62AA">
      <w:pPr>
        <w:pStyle w:val="11"/>
        <w:numPr>
          <w:ilvl w:val="0"/>
          <w:numId w:val="2"/>
        </w:numPr>
        <w:spacing w:before="0" w:after="0" w:line="480" w:lineRule="exact"/>
        <w:contextualSpacing/>
        <w:rPr>
          <w:rFonts w:hint="eastAsia"/>
          <w:color w:val="auto"/>
          <w:highlight w:val="none"/>
          <w:lang w:bidi="ar"/>
        </w:rPr>
      </w:pPr>
      <w:r>
        <w:rPr>
          <w:rFonts w:hint="eastAsia"/>
          <w:color w:val="auto"/>
          <w:highlight w:val="none"/>
          <w:lang w:bidi="ar"/>
        </w:rPr>
        <w:t>仅限水务集团合格供应商库范围内（“津水云采”平台注册审核通过并购买且激活CA证书的供应商）；</w:t>
      </w:r>
    </w:p>
    <w:p w14:paraId="02E46D8C">
      <w:pPr>
        <w:pStyle w:val="11"/>
        <w:numPr>
          <w:ilvl w:val="0"/>
          <w:numId w:val="2"/>
        </w:numPr>
        <w:spacing w:before="0" w:after="0" w:afterAutospacing="0" w:line="480" w:lineRule="exact"/>
        <w:contextualSpacing/>
        <w:rPr>
          <w:rFonts w:hint="eastAsia"/>
          <w:color w:val="auto"/>
          <w:highlight w:val="none"/>
          <w:lang w:bidi="ar"/>
        </w:rPr>
      </w:pPr>
      <w:r>
        <w:rPr>
          <w:rFonts w:hint="eastAsia"/>
          <w:color w:val="auto"/>
          <w:highlight w:val="none"/>
          <w:lang w:bidi="ar"/>
        </w:rPr>
        <w:t>本项目不允许联合体参与。</w:t>
      </w:r>
    </w:p>
    <w:bookmarkEnd w:id="1"/>
    <w:p w14:paraId="6E5B45A1">
      <w:pPr>
        <w:pStyle w:val="21"/>
        <w:numPr>
          <w:ilvl w:val="0"/>
          <w:numId w:val="1"/>
        </w:numPr>
        <w:spacing w:before="0" w:beforeAutospacing="0" w:line="480" w:lineRule="exact"/>
        <w:ind w:left="0" w:firstLine="424" w:firstLineChars="177"/>
        <w:contextualSpacing/>
        <w:rPr>
          <w:color w:val="auto"/>
          <w:highlight w:val="none"/>
        </w:rPr>
      </w:pPr>
      <w:r>
        <w:rPr>
          <w:rFonts w:hint="eastAsia"/>
          <w:color w:val="auto"/>
          <w:highlight w:val="none"/>
          <w:lang w:val="en-US" w:eastAsia="zh-CN"/>
        </w:rPr>
        <w:t>服务期限</w:t>
      </w:r>
      <w:r>
        <w:rPr>
          <w:rFonts w:hint="eastAsia"/>
          <w:color w:val="auto"/>
          <w:highlight w:val="none"/>
        </w:rPr>
        <w:t>：</w:t>
      </w:r>
      <w:r>
        <w:rPr>
          <w:rFonts w:hint="eastAsia"/>
          <w:color w:val="auto"/>
          <w:highlight w:val="none"/>
          <w:lang w:val="en-US" w:eastAsia="zh-CN"/>
        </w:rPr>
        <w:t>自合同签订之日起一年</w:t>
      </w:r>
      <w:r>
        <w:rPr>
          <w:color w:val="auto"/>
          <w:highlight w:val="none"/>
        </w:rPr>
        <w:t>。</w:t>
      </w:r>
    </w:p>
    <w:p w14:paraId="20681F0F">
      <w:pPr>
        <w:pStyle w:val="21"/>
        <w:numPr>
          <w:ilvl w:val="0"/>
          <w:numId w:val="1"/>
        </w:numPr>
        <w:spacing w:line="480" w:lineRule="exact"/>
        <w:ind w:left="0" w:firstLine="424" w:firstLineChars="177"/>
        <w:contextualSpacing/>
        <w:rPr>
          <w:rFonts w:hint="default"/>
          <w:color w:val="auto"/>
          <w:highlight w:val="none"/>
          <w:lang w:val="en-US" w:bidi="ar"/>
        </w:rPr>
      </w:pPr>
      <w:r>
        <w:rPr>
          <w:rFonts w:hint="eastAsia"/>
          <w:color w:val="auto"/>
          <w:highlight w:val="none"/>
        </w:rPr>
        <w:t>项目控标价：</w:t>
      </w:r>
      <w:r>
        <w:rPr>
          <w:rFonts w:hint="eastAsia"/>
          <w:color w:val="auto"/>
          <w:highlight w:val="none"/>
          <w:lang w:val="en-US" w:eastAsia="zh-CN"/>
        </w:rPr>
        <w:t>总报价</w:t>
      </w:r>
      <w:r>
        <w:rPr>
          <w:rFonts w:hint="eastAsia"/>
          <w:b/>
          <w:bCs/>
          <w:color w:val="auto"/>
          <w:highlight w:val="none"/>
          <w:lang w:val="en-US" w:eastAsia="zh-CN"/>
        </w:rPr>
        <w:t>3.8</w:t>
      </w:r>
      <w:r>
        <w:rPr>
          <w:rFonts w:hint="eastAsia" w:cs="仿宋"/>
          <w:b/>
          <w:bCs/>
          <w:color w:val="auto"/>
          <w:sz w:val="24"/>
          <w:highlight w:val="none"/>
          <w:lang w:val="en-US" w:eastAsia="zh-CN"/>
        </w:rPr>
        <w:t>万。</w:t>
      </w:r>
    </w:p>
    <w:p w14:paraId="4546BB06">
      <w:pPr>
        <w:pStyle w:val="21"/>
        <w:numPr>
          <w:ilvl w:val="0"/>
          <w:numId w:val="1"/>
        </w:numPr>
        <w:spacing w:line="480" w:lineRule="exact"/>
        <w:ind w:left="0" w:firstLine="424" w:firstLineChars="177"/>
        <w:contextualSpacing/>
        <w:rPr>
          <w:rFonts w:hint="eastAsia"/>
          <w:color w:val="auto"/>
          <w:highlight w:val="none"/>
          <w:lang w:bidi="ar"/>
        </w:rPr>
      </w:pPr>
      <w:r>
        <w:rPr>
          <w:rFonts w:hint="eastAsia"/>
          <w:color w:val="auto"/>
          <w:highlight w:val="none"/>
        </w:rPr>
        <w:t>付款方式：</w:t>
      </w:r>
      <w:r>
        <w:rPr>
          <w:rFonts w:hint="eastAsia" w:ascii="宋体" w:hAnsi="宋体" w:eastAsia="宋体" w:cs="宋体"/>
          <w:i w:val="0"/>
          <w:iCs w:val="0"/>
          <w:color w:val="000000"/>
          <w:kern w:val="0"/>
          <w:sz w:val="22"/>
          <w:szCs w:val="22"/>
          <w:highlight w:val="none"/>
          <w:u w:val="none"/>
          <w:lang w:val="en-US" w:eastAsia="zh-CN" w:bidi="ar"/>
        </w:rPr>
        <w:t>日常运行维护费</w:t>
      </w:r>
      <w:r>
        <w:rPr>
          <w:rFonts w:hint="eastAsia"/>
          <w:color w:val="auto"/>
          <w:highlight w:val="none"/>
          <w:lang w:val="en-US" w:eastAsia="zh-CN"/>
        </w:rPr>
        <w:t>每月完成服务相关内容并验收后支付，</w:t>
      </w:r>
      <w:r>
        <w:rPr>
          <w:rFonts w:hint="eastAsia" w:ascii="宋体" w:hAnsi="宋体" w:eastAsia="宋体" w:cs="宋体"/>
          <w:i w:val="0"/>
          <w:iCs w:val="0"/>
          <w:color w:val="000000"/>
          <w:kern w:val="0"/>
          <w:sz w:val="22"/>
          <w:szCs w:val="22"/>
          <w:highlight w:val="none"/>
          <w:u w:val="none"/>
          <w:lang w:val="en-US" w:eastAsia="zh-CN" w:bidi="ar"/>
        </w:rPr>
        <w:t>应急维护费</w:t>
      </w:r>
      <w:r>
        <w:rPr>
          <w:rFonts w:hint="eastAsia"/>
          <w:color w:val="000000"/>
          <w:sz w:val="22"/>
          <w:szCs w:val="22"/>
          <w:highlight w:val="none"/>
          <w:u w:val="none"/>
          <w:lang w:bidi="ar"/>
        </w:rPr>
        <w:t>按照实际发生情况结算</w:t>
      </w:r>
      <w:r>
        <w:rPr>
          <w:rFonts w:hint="eastAsia"/>
          <w:color w:val="auto"/>
          <w:highlight w:val="none"/>
        </w:rPr>
        <w:t>（以合同签订为准）</w:t>
      </w:r>
      <w:r>
        <w:rPr>
          <w:rFonts w:hint="eastAsia"/>
          <w:color w:val="auto"/>
          <w:highlight w:val="none"/>
          <w:lang w:eastAsia="zh-CN"/>
        </w:rPr>
        <w:t>。</w:t>
      </w:r>
    </w:p>
    <w:p w14:paraId="584FAD23">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质量要求：符合</w:t>
      </w:r>
      <w:r>
        <w:rPr>
          <w:rFonts w:hint="eastAsia"/>
          <w:color w:val="auto"/>
          <w:highlight w:val="none"/>
          <w:lang w:val="en-US" w:eastAsia="zh-CN"/>
        </w:rPr>
        <w:t>项目需求</w:t>
      </w:r>
      <w:r>
        <w:rPr>
          <w:rFonts w:hint="eastAsia"/>
          <w:color w:val="auto"/>
          <w:highlight w:val="none"/>
        </w:rPr>
        <w:t>。</w:t>
      </w:r>
    </w:p>
    <w:p w14:paraId="03B1EBCA">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评审办法：</w:t>
      </w:r>
      <w:r>
        <w:rPr>
          <w:rFonts w:hint="eastAsia"/>
          <w:color w:val="auto"/>
          <w:highlight w:val="none"/>
          <w:lang w:val="en-US" w:eastAsia="zh-CN"/>
        </w:rPr>
        <w:t>资格审查并谈判</w:t>
      </w:r>
      <w:r>
        <w:rPr>
          <w:color w:val="auto"/>
          <w:highlight w:val="none"/>
        </w:rPr>
        <w:t>。</w:t>
      </w:r>
    </w:p>
    <w:p w14:paraId="5BAF5037">
      <w:pPr>
        <w:pStyle w:val="21"/>
        <w:numPr>
          <w:ilvl w:val="0"/>
          <w:numId w:val="1"/>
        </w:numPr>
        <w:spacing w:line="480" w:lineRule="exact"/>
        <w:ind w:left="0" w:firstLine="424" w:firstLineChars="177"/>
        <w:contextualSpacing/>
        <w:rPr>
          <w:bCs/>
          <w:color w:val="auto"/>
          <w:highlight w:val="none"/>
        </w:rPr>
      </w:pPr>
      <w:r>
        <w:rPr>
          <w:rFonts w:hint="eastAsia"/>
          <w:bCs/>
          <w:color w:val="auto"/>
          <w:highlight w:val="none"/>
        </w:rPr>
        <w:t>报价文件内容（格式自拟）：</w:t>
      </w:r>
    </w:p>
    <w:p w14:paraId="6FA531C8">
      <w:pPr>
        <w:pStyle w:val="21"/>
        <w:numPr>
          <w:ilvl w:val="0"/>
          <w:numId w:val="3"/>
        </w:numPr>
        <w:spacing w:line="480" w:lineRule="exact"/>
        <w:ind w:left="0" w:firstLine="420"/>
        <w:contextualSpacing/>
        <w:rPr>
          <w:bCs/>
          <w:color w:val="auto"/>
          <w:highlight w:val="none"/>
        </w:rPr>
      </w:pPr>
      <w:r>
        <w:rPr>
          <w:rFonts w:hint="eastAsia"/>
          <w:bCs/>
          <w:color w:val="auto"/>
          <w:highlight w:val="none"/>
        </w:rPr>
        <w:t>报价单</w:t>
      </w:r>
    </w:p>
    <w:p w14:paraId="2F73C3C3">
      <w:pPr>
        <w:pStyle w:val="21"/>
        <w:spacing w:line="480" w:lineRule="exact"/>
        <w:ind w:left="420" w:firstLine="480" w:firstLineChars="200"/>
        <w:contextualSpacing/>
        <w:rPr>
          <w:bCs/>
          <w:color w:val="auto"/>
          <w:highlight w:val="none"/>
        </w:rPr>
      </w:pPr>
      <w:r>
        <w:rPr>
          <w:rFonts w:hint="eastAsia"/>
          <w:bCs/>
          <w:color w:val="auto"/>
          <w:highlight w:val="none"/>
        </w:rPr>
        <w:t>须具备计量单位、单价、等内容；</w:t>
      </w:r>
      <w:r>
        <w:rPr>
          <w:bCs/>
          <w:color w:val="auto"/>
          <w:highlight w:val="none"/>
        </w:rPr>
        <w:t xml:space="preserve"> </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3867"/>
        <w:gridCol w:w="3120"/>
      </w:tblGrid>
      <w:tr w14:paraId="6763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tcPr>
          <w:p w14:paraId="04AEE22D">
            <w:pPr>
              <w:pStyle w:val="21"/>
              <w:spacing w:line="480" w:lineRule="exact"/>
              <w:contextualSpacing/>
              <w:jc w:val="center"/>
              <w:rPr>
                <w:rFonts w:hint="eastAsia" w:eastAsia="宋体"/>
                <w:bCs/>
                <w:color w:val="auto"/>
                <w:highlight w:val="none"/>
                <w:vertAlign w:val="baseline"/>
                <w:lang w:eastAsia="zh-CN"/>
              </w:rPr>
            </w:pPr>
            <w:r>
              <w:rPr>
                <w:rFonts w:hint="eastAsia"/>
                <w:bCs/>
                <w:color w:val="auto"/>
                <w:highlight w:val="none"/>
                <w:vertAlign w:val="baseline"/>
                <w:lang w:eastAsia="zh-CN"/>
              </w:rPr>
              <w:t>序号</w:t>
            </w:r>
          </w:p>
        </w:tc>
        <w:tc>
          <w:tcPr>
            <w:tcW w:w="2269" w:type="pct"/>
          </w:tcPr>
          <w:p w14:paraId="707338D5">
            <w:pPr>
              <w:pStyle w:val="21"/>
              <w:spacing w:line="480" w:lineRule="exact"/>
              <w:contextualSpacing/>
              <w:jc w:val="center"/>
              <w:rPr>
                <w:rFonts w:hint="eastAsia" w:eastAsia="宋体"/>
                <w:bCs/>
                <w:color w:val="auto"/>
                <w:highlight w:val="none"/>
                <w:vertAlign w:val="baseline"/>
                <w:lang w:eastAsia="zh-CN"/>
              </w:rPr>
            </w:pPr>
            <w:r>
              <w:rPr>
                <w:rFonts w:hint="eastAsia"/>
                <w:bCs/>
                <w:color w:val="auto"/>
                <w:highlight w:val="none"/>
                <w:vertAlign w:val="baseline"/>
                <w:lang w:eastAsia="zh-CN"/>
              </w:rPr>
              <w:t>项目名称</w:t>
            </w:r>
          </w:p>
        </w:tc>
        <w:tc>
          <w:tcPr>
            <w:tcW w:w="1830" w:type="pct"/>
          </w:tcPr>
          <w:p w14:paraId="649D0057">
            <w:pPr>
              <w:pStyle w:val="21"/>
              <w:spacing w:line="480" w:lineRule="exact"/>
              <w:contextualSpacing/>
              <w:jc w:val="center"/>
              <w:rPr>
                <w:rFonts w:hint="eastAsia" w:eastAsia="宋体"/>
                <w:bCs/>
                <w:color w:val="auto"/>
                <w:highlight w:val="none"/>
                <w:vertAlign w:val="baseline"/>
                <w:lang w:eastAsia="zh-CN"/>
              </w:rPr>
            </w:pPr>
            <w:r>
              <w:rPr>
                <w:rFonts w:hint="eastAsia"/>
                <w:bCs/>
                <w:color w:val="auto"/>
                <w:highlight w:val="none"/>
                <w:vertAlign w:val="baseline"/>
                <w:lang w:eastAsia="zh-CN"/>
              </w:rPr>
              <w:t>报价（元）</w:t>
            </w:r>
          </w:p>
        </w:tc>
      </w:tr>
      <w:tr w14:paraId="0C6D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tcPr>
          <w:p w14:paraId="0B0336C4">
            <w:pPr>
              <w:pStyle w:val="21"/>
              <w:spacing w:line="480" w:lineRule="exact"/>
              <w:contextualSpacing/>
              <w:jc w:val="center"/>
              <w:rPr>
                <w:rFonts w:hint="eastAsia" w:eastAsia="宋体"/>
                <w:bCs/>
                <w:color w:val="auto"/>
                <w:highlight w:val="none"/>
                <w:vertAlign w:val="baseline"/>
                <w:lang w:val="en-US" w:eastAsia="zh-CN"/>
              </w:rPr>
            </w:pPr>
            <w:r>
              <w:rPr>
                <w:rFonts w:hint="eastAsia"/>
                <w:bCs/>
                <w:color w:val="auto"/>
                <w:highlight w:val="none"/>
                <w:vertAlign w:val="baseline"/>
                <w:lang w:val="en-US" w:eastAsia="zh-CN"/>
              </w:rPr>
              <w:t>1</w:t>
            </w:r>
          </w:p>
        </w:tc>
        <w:tc>
          <w:tcPr>
            <w:tcW w:w="2269" w:type="pct"/>
          </w:tcPr>
          <w:p w14:paraId="002D0777">
            <w:pPr>
              <w:pStyle w:val="21"/>
              <w:spacing w:line="480" w:lineRule="exact"/>
              <w:contextualSpacing/>
              <w:jc w:val="center"/>
              <w:rPr>
                <w:bCs/>
                <w:color w:val="auto"/>
                <w:highlight w:val="none"/>
                <w:vertAlign w:val="baseline"/>
              </w:rPr>
            </w:pPr>
            <w:r>
              <w:rPr>
                <w:rFonts w:hint="eastAsia" w:ascii="宋体" w:hAnsi="宋体" w:eastAsia="宋体" w:cs="宋体"/>
                <w:i w:val="0"/>
                <w:iCs w:val="0"/>
                <w:color w:val="000000"/>
                <w:kern w:val="0"/>
                <w:sz w:val="22"/>
                <w:szCs w:val="22"/>
                <w:u w:val="none"/>
                <w:lang w:val="en-US" w:eastAsia="zh-CN" w:bidi="ar"/>
              </w:rPr>
              <w:t>日常运行维护费</w:t>
            </w:r>
          </w:p>
        </w:tc>
        <w:tc>
          <w:tcPr>
            <w:tcW w:w="1830" w:type="pct"/>
          </w:tcPr>
          <w:p w14:paraId="4261721F">
            <w:pPr>
              <w:pStyle w:val="21"/>
              <w:spacing w:line="480" w:lineRule="exact"/>
              <w:contextualSpacing/>
              <w:jc w:val="center"/>
              <w:rPr>
                <w:bCs/>
                <w:color w:val="auto"/>
                <w:highlight w:val="none"/>
                <w:vertAlign w:val="baseline"/>
              </w:rPr>
            </w:pPr>
          </w:p>
        </w:tc>
      </w:tr>
      <w:tr w14:paraId="2ED9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tcPr>
          <w:p w14:paraId="23F230ED">
            <w:pPr>
              <w:pStyle w:val="21"/>
              <w:spacing w:line="480" w:lineRule="exact"/>
              <w:contextualSpacing/>
              <w:jc w:val="center"/>
              <w:rPr>
                <w:rFonts w:hint="eastAsia" w:eastAsia="宋体"/>
                <w:bCs/>
                <w:color w:val="auto"/>
                <w:highlight w:val="none"/>
                <w:vertAlign w:val="baseline"/>
                <w:lang w:val="en-US" w:eastAsia="zh-CN"/>
              </w:rPr>
            </w:pPr>
            <w:r>
              <w:rPr>
                <w:rFonts w:hint="eastAsia"/>
                <w:bCs/>
                <w:color w:val="auto"/>
                <w:highlight w:val="none"/>
                <w:vertAlign w:val="baseline"/>
                <w:lang w:val="en-US" w:eastAsia="zh-CN"/>
              </w:rPr>
              <w:t>2</w:t>
            </w:r>
          </w:p>
        </w:tc>
        <w:tc>
          <w:tcPr>
            <w:tcW w:w="2269" w:type="pct"/>
          </w:tcPr>
          <w:p w14:paraId="518BED27">
            <w:pPr>
              <w:pStyle w:val="21"/>
              <w:spacing w:line="480" w:lineRule="exact"/>
              <w:contextualSpacing/>
              <w:jc w:val="center"/>
              <w:rPr>
                <w:bCs/>
                <w:color w:val="auto"/>
                <w:highlight w:val="none"/>
                <w:vertAlign w:val="baseline"/>
              </w:rPr>
            </w:pPr>
            <w:r>
              <w:rPr>
                <w:rFonts w:hint="eastAsia" w:ascii="宋体" w:hAnsi="宋体" w:eastAsia="宋体" w:cs="宋体"/>
                <w:i w:val="0"/>
                <w:iCs w:val="0"/>
                <w:color w:val="000000"/>
                <w:kern w:val="0"/>
                <w:sz w:val="22"/>
                <w:szCs w:val="22"/>
                <w:u w:val="none"/>
                <w:lang w:val="en-US" w:eastAsia="zh-CN" w:bidi="ar"/>
              </w:rPr>
              <w:t>应急维护费</w:t>
            </w:r>
          </w:p>
        </w:tc>
        <w:tc>
          <w:tcPr>
            <w:tcW w:w="1830" w:type="pct"/>
          </w:tcPr>
          <w:p w14:paraId="2134C675">
            <w:pPr>
              <w:pStyle w:val="21"/>
              <w:spacing w:line="480" w:lineRule="exact"/>
              <w:contextualSpacing/>
              <w:jc w:val="center"/>
              <w:rPr>
                <w:bCs/>
                <w:color w:val="auto"/>
                <w:highlight w:val="none"/>
                <w:vertAlign w:val="baseline"/>
              </w:rPr>
            </w:pPr>
          </w:p>
        </w:tc>
      </w:tr>
    </w:tbl>
    <w:p w14:paraId="23315E95">
      <w:pPr>
        <w:pStyle w:val="21"/>
        <w:spacing w:line="480" w:lineRule="exact"/>
        <w:ind w:left="420" w:firstLine="480" w:firstLineChars="200"/>
        <w:contextualSpacing/>
        <w:rPr>
          <w:bCs/>
          <w:color w:val="auto"/>
          <w:highlight w:val="none"/>
        </w:rPr>
      </w:pPr>
    </w:p>
    <w:p w14:paraId="0729DE4B">
      <w:pPr>
        <w:pStyle w:val="21"/>
        <w:numPr>
          <w:ilvl w:val="0"/>
          <w:numId w:val="3"/>
        </w:numPr>
        <w:spacing w:line="480" w:lineRule="exact"/>
        <w:ind w:left="0" w:firstLine="420"/>
        <w:contextualSpacing/>
        <w:rPr>
          <w:bCs/>
          <w:color w:val="auto"/>
          <w:highlight w:val="none"/>
        </w:rPr>
      </w:pPr>
      <w:r>
        <w:rPr>
          <w:rFonts w:hint="eastAsia"/>
          <w:bCs/>
          <w:color w:val="auto"/>
          <w:highlight w:val="none"/>
        </w:rPr>
        <w:t>资格审查资料</w:t>
      </w:r>
    </w:p>
    <w:p w14:paraId="6C419D8A">
      <w:pPr>
        <w:pStyle w:val="21"/>
        <w:numPr>
          <w:ilvl w:val="0"/>
          <w:numId w:val="4"/>
        </w:numPr>
        <w:spacing w:line="480" w:lineRule="exact"/>
        <w:ind w:left="0" w:firstLine="420"/>
        <w:contextualSpacing/>
        <w:rPr>
          <w:bCs/>
          <w:color w:val="auto"/>
          <w:highlight w:val="none"/>
        </w:rPr>
      </w:pPr>
      <w:r>
        <w:rPr>
          <w:rFonts w:hint="eastAsia"/>
          <w:bCs/>
          <w:color w:val="auto"/>
          <w:highlight w:val="none"/>
        </w:rPr>
        <w:t>具有营业执照副本或事业单位法人证书或民办非企业单位登记证书或社会团体法人登记证书或基金会法人登记证书，并在有效期内；</w:t>
      </w:r>
    </w:p>
    <w:p w14:paraId="628531F1">
      <w:pPr>
        <w:pStyle w:val="21"/>
        <w:numPr>
          <w:ilvl w:val="0"/>
          <w:numId w:val="4"/>
        </w:numPr>
        <w:spacing w:line="480" w:lineRule="exact"/>
        <w:ind w:left="0" w:firstLine="420"/>
        <w:contextualSpacing/>
        <w:rPr>
          <w:bCs/>
          <w:color w:val="auto"/>
          <w:highlight w:val="none"/>
        </w:rPr>
      </w:pPr>
      <w:r>
        <w:rPr>
          <w:rFonts w:hint="eastAsia"/>
          <w:bCs/>
          <w:color w:val="auto"/>
          <w:highlight w:val="none"/>
        </w:rPr>
        <w:t>在“信用中国”网站(https://www.creditchina.gov.cn/)查询严重失信主体名单，未被列入名单并将查询结果截图加盖单位公章；</w:t>
      </w:r>
    </w:p>
    <w:p w14:paraId="2EBDFB6E">
      <w:pPr>
        <w:pStyle w:val="21"/>
        <w:numPr>
          <w:ilvl w:val="0"/>
          <w:numId w:val="4"/>
        </w:numPr>
        <w:spacing w:line="480" w:lineRule="exact"/>
        <w:ind w:left="0" w:firstLine="420"/>
        <w:contextualSpacing/>
        <w:rPr>
          <w:bCs/>
          <w:color w:val="auto"/>
          <w:highlight w:val="none"/>
        </w:rPr>
      </w:pPr>
      <w:r>
        <w:rPr>
          <w:rFonts w:hint="eastAsia"/>
          <w:bCs/>
          <w:color w:val="auto"/>
          <w:highlight w:val="none"/>
        </w:rPr>
        <w:t>授权委托书；</w:t>
      </w:r>
    </w:p>
    <w:p w14:paraId="6D4D5C90">
      <w:pPr>
        <w:pStyle w:val="21"/>
        <w:numPr>
          <w:ilvl w:val="0"/>
          <w:numId w:val="4"/>
        </w:numPr>
        <w:spacing w:line="480" w:lineRule="exact"/>
        <w:ind w:left="0" w:firstLine="420"/>
        <w:contextualSpacing/>
        <w:rPr>
          <w:bCs/>
          <w:color w:val="auto"/>
          <w:highlight w:val="none"/>
        </w:rPr>
      </w:pPr>
      <w:r>
        <w:rPr>
          <w:rFonts w:hint="eastAsia"/>
          <w:color w:val="auto"/>
          <w:highlight w:val="none"/>
        </w:rPr>
        <w:t>非联合体投标承诺书。</w:t>
      </w:r>
    </w:p>
    <w:p w14:paraId="4BE4F666">
      <w:pPr>
        <w:pStyle w:val="21"/>
        <w:numPr>
          <w:ilvl w:val="0"/>
          <w:numId w:val="1"/>
        </w:numPr>
        <w:spacing w:line="480" w:lineRule="exact"/>
        <w:ind w:left="0" w:firstLine="424" w:firstLineChars="177"/>
        <w:contextualSpacing/>
        <w:rPr>
          <w:bCs/>
          <w:color w:val="auto"/>
          <w:highlight w:val="none"/>
        </w:rPr>
      </w:pPr>
      <w:r>
        <w:rPr>
          <w:rFonts w:hint="eastAsia"/>
          <w:bCs/>
          <w:color w:val="auto"/>
          <w:highlight w:val="none"/>
        </w:rPr>
        <w:t>报价要求</w:t>
      </w:r>
    </w:p>
    <w:p w14:paraId="29CD8B16">
      <w:pPr>
        <w:pStyle w:val="21"/>
        <w:numPr>
          <w:ilvl w:val="0"/>
          <w:numId w:val="5"/>
        </w:numPr>
        <w:spacing w:line="480" w:lineRule="exact"/>
        <w:ind w:left="0" w:firstLine="420"/>
        <w:contextualSpacing/>
        <w:rPr>
          <w:bCs/>
          <w:color w:val="auto"/>
          <w:highlight w:val="none"/>
        </w:rPr>
      </w:pPr>
      <w:r>
        <w:rPr>
          <w:rFonts w:hint="eastAsia"/>
          <w:bCs/>
          <w:color w:val="auto"/>
          <w:highlight w:val="none"/>
        </w:rPr>
        <w:t>参与报价供应商请登录“津水云采”平台http://www.jinshuiyuncai.com。此次报价为线上报价，报价文件均需加盖公章，按照报价文件内容要求上传报价；一次性报出最具竞争力的价格，提供分项报价并合计总价，所报价格为到货含税价。所报价格应包括</w:t>
      </w:r>
      <w:r>
        <w:rPr>
          <w:rFonts w:hint="eastAsia"/>
          <w:bCs/>
          <w:color w:val="auto"/>
          <w:highlight w:val="none"/>
          <w:lang w:val="en-US" w:eastAsia="zh-CN"/>
        </w:rPr>
        <w:t>本项目</w:t>
      </w:r>
      <w:r>
        <w:rPr>
          <w:rFonts w:hint="eastAsia"/>
          <w:bCs/>
          <w:color w:val="auto"/>
          <w:highlight w:val="none"/>
        </w:rPr>
        <w:t>全部费用。</w:t>
      </w:r>
    </w:p>
    <w:p w14:paraId="4D5D9146">
      <w:pPr>
        <w:pStyle w:val="21"/>
        <w:numPr>
          <w:ilvl w:val="0"/>
          <w:numId w:val="5"/>
        </w:numPr>
        <w:spacing w:line="480" w:lineRule="exact"/>
        <w:ind w:left="0" w:firstLine="420"/>
        <w:contextualSpacing/>
        <w:rPr>
          <w:bCs/>
          <w:color w:val="auto"/>
          <w:highlight w:val="none"/>
        </w:rPr>
      </w:pPr>
      <w:r>
        <w:rPr>
          <w:rFonts w:hint="eastAsia"/>
          <w:bCs/>
          <w:color w:val="auto"/>
          <w:highlight w:val="none"/>
        </w:rPr>
        <w:t>按照报价格式要求将报价文件扫描成PDF的形式，上传报价文件扫描件（盖章）。</w:t>
      </w:r>
    </w:p>
    <w:p w14:paraId="199B12CF">
      <w:pPr>
        <w:pStyle w:val="21"/>
        <w:numPr>
          <w:ilvl w:val="0"/>
          <w:numId w:val="5"/>
        </w:numPr>
        <w:spacing w:line="480" w:lineRule="exact"/>
        <w:ind w:left="0" w:firstLine="420"/>
        <w:contextualSpacing/>
        <w:rPr>
          <w:bCs/>
          <w:color w:val="auto"/>
          <w:highlight w:val="none"/>
        </w:rPr>
      </w:pPr>
      <w:r>
        <w:rPr>
          <w:rFonts w:hint="eastAsia"/>
          <w:bCs/>
          <w:color w:val="auto"/>
          <w:highlight w:val="none"/>
        </w:rPr>
        <w:t>报价文件需编制目录并标注页码。</w:t>
      </w:r>
    </w:p>
    <w:p w14:paraId="2597CA16">
      <w:pPr>
        <w:pStyle w:val="21"/>
        <w:numPr>
          <w:ilvl w:val="0"/>
          <w:numId w:val="5"/>
        </w:numPr>
        <w:spacing w:line="480" w:lineRule="exact"/>
        <w:ind w:left="0" w:firstLine="420"/>
        <w:contextualSpacing/>
        <w:rPr>
          <w:b w:val="0"/>
          <w:bCs/>
          <w:color w:val="auto"/>
          <w:highlight w:val="none"/>
        </w:rPr>
      </w:pPr>
      <w:r>
        <w:rPr>
          <w:rFonts w:hint="eastAsia"/>
          <w:b w:val="0"/>
          <w:bCs/>
          <w:color w:val="auto"/>
          <w:highlight w:val="none"/>
        </w:rPr>
        <w:t>报价文件应严格按照询价公告及询价文件要求提报资料, 资料不齐或未上传电子版文件视为无效报价将被否决。</w:t>
      </w:r>
    </w:p>
    <w:p w14:paraId="7C8916D6">
      <w:pPr>
        <w:pStyle w:val="21"/>
        <w:spacing w:line="480" w:lineRule="exact"/>
        <w:contextualSpacing/>
        <w:rPr>
          <w:b/>
          <w:color w:val="auto"/>
          <w:sz w:val="18"/>
          <w:szCs w:val="18"/>
          <w:highlight w:val="none"/>
        </w:rPr>
      </w:pPr>
      <w:r>
        <w:rPr>
          <w:rFonts w:hint="eastAsia"/>
          <w:b/>
          <w:color w:val="auto"/>
          <w:sz w:val="18"/>
          <w:szCs w:val="18"/>
          <w:highlight w:val="none"/>
        </w:rPr>
        <w:t>注：请报价人认真阅读询价文件要求，任意一项的不响应将导致投标被否决。如有格式要求的，请按照格式提供，如未提供格式的，请报价人自拟，包含但不限于格式中内容。</w:t>
      </w:r>
    </w:p>
    <w:p w14:paraId="323E005C">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报价文件的提交</w:t>
      </w:r>
    </w:p>
    <w:p w14:paraId="0FA0A390">
      <w:pPr>
        <w:pStyle w:val="21"/>
        <w:numPr>
          <w:ilvl w:val="0"/>
          <w:numId w:val="6"/>
        </w:numPr>
        <w:spacing w:line="480" w:lineRule="exact"/>
        <w:ind w:left="0" w:firstLine="420" w:firstLineChars="175"/>
        <w:contextualSpacing/>
        <w:rPr>
          <w:color w:val="auto"/>
          <w:highlight w:val="none"/>
        </w:rPr>
      </w:pPr>
      <w:r>
        <w:rPr>
          <w:rFonts w:hint="eastAsia"/>
          <w:color w:val="auto"/>
          <w:highlight w:val="none"/>
        </w:rPr>
        <w:t>报价文件提交的截止时间：</w:t>
      </w:r>
      <w:bookmarkStart w:id="2" w:name="_GoBack"/>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5</w:t>
      </w:r>
      <w:r>
        <w:rPr>
          <w:color w:val="auto"/>
          <w:highlight w:val="none"/>
        </w:rPr>
        <w:t>月</w:t>
      </w:r>
      <w:r>
        <w:rPr>
          <w:rFonts w:hint="eastAsia"/>
          <w:color w:val="auto"/>
          <w:highlight w:val="none"/>
          <w:lang w:val="en-US" w:eastAsia="zh-CN"/>
        </w:rPr>
        <w:t>25</w:t>
      </w:r>
      <w:r>
        <w:rPr>
          <w:color w:val="auto"/>
          <w:highlight w:val="none"/>
        </w:rPr>
        <w:t>日</w:t>
      </w:r>
      <w:r>
        <w:rPr>
          <w:rFonts w:hint="eastAsia"/>
          <w:color w:val="auto"/>
          <w:highlight w:val="none"/>
        </w:rPr>
        <w:t>1</w:t>
      </w:r>
      <w:r>
        <w:rPr>
          <w:rFonts w:hint="eastAsia"/>
          <w:color w:val="auto"/>
          <w:highlight w:val="none"/>
          <w:lang w:val="en-US" w:eastAsia="zh-CN"/>
        </w:rPr>
        <w:t>7</w:t>
      </w:r>
      <w:bookmarkEnd w:id="2"/>
      <w:r>
        <w:rPr>
          <w:rFonts w:hint="eastAsia"/>
          <w:color w:val="auto"/>
          <w:highlight w:val="none"/>
        </w:rPr>
        <w:t>:00。</w:t>
      </w:r>
    </w:p>
    <w:p w14:paraId="1B3FD848">
      <w:pPr>
        <w:pStyle w:val="21"/>
        <w:numPr>
          <w:ilvl w:val="0"/>
          <w:numId w:val="6"/>
        </w:numPr>
        <w:spacing w:line="480" w:lineRule="exact"/>
        <w:ind w:left="0" w:firstLine="420" w:firstLineChars="175"/>
        <w:contextualSpacing/>
        <w:rPr>
          <w:rFonts w:hint="eastAsia"/>
          <w:color w:val="auto"/>
          <w:highlight w:val="none"/>
        </w:rPr>
      </w:pPr>
      <w:r>
        <w:rPr>
          <w:rFonts w:hint="eastAsia"/>
          <w:color w:val="auto"/>
          <w:highlight w:val="none"/>
        </w:rPr>
        <w:t>报价文件递交方式：报价文件加盖公章并上传“津水云采”平台。</w:t>
      </w:r>
    </w:p>
    <w:p w14:paraId="19025B79">
      <w:pPr>
        <w:pStyle w:val="21"/>
        <w:numPr>
          <w:ilvl w:val="0"/>
          <w:numId w:val="6"/>
        </w:numPr>
        <w:spacing w:line="480" w:lineRule="exact"/>
        <w:ind w:left="0" w:firstLine="420" w:firstLineChars="175"/>
        <w:contextualSpacing/>
        <w:rPr>
          <w:rFonts w:hint="eastAsia"/>
          <w:color w:val="auto"/>
          <w:highlight w:val="none"/>
          <w:lang w:val="en-US" w:eastAsia="zh-CN"/>
        </w:rPr>
      </w:pPr>
      <w:r>
        <w:rPr>
          <w:rFonts w:hint="eastAsia"/>
          <w:color w:val="auto"/>
          <w:highlight w:val="none"/>
        </w:rPr>
        <w:t>开标地点：线上开标，不举行现场开标仪式。</w:t>
      </w:r>
    </w:p>
    <w:p w14:paraId="4E2498C8">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236FE2C4">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747A5632">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071C45EC">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55ABB69B">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4F61C4C9">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68620AF1">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3E8FA359">
      <w:pPr>
        <w:pStyle w:val="21"/>
        <w:numPr>
          <w:ilvl w:val="0"/>
          <w:numId w:val="0"/>
        </w:numPr>
        <w:spacing w:line="480" w:lineRule="exact"/>
        <w:contextualSpacing/>
        <w:rPr>
          <w:rFonts w:hint="eastAsia"/>
          <w:color w:val="auto"/>
          <w:highlight w:val="none"/>
          <w:lang w:eastAsia="zh-CN"/>
        </w:rPr>
      </w:pPr>
      <w:r>
        <w:rPr>
          <w:rFonts w:hint="eastAsia"/>
          <w:color w:val="auto"/>
          <w:highlight w:val="none"/>
          <w:lang w:eastAsia="zh-CN"/>
        </w:rPr>
        <w:t>附图：</w:t>
      </w:r>
    </w:p>
    <w:p w14:paraId="3CC456A8">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74426376">
      <w:pPr>
        <w:pStyle w:val="21"/>
        <w:widowControl/>
        <w:numPr>
          <w:ilvl w:val="0"/>
          <w:numId w:val="0"/>
        </w:numPr>
        <w:spacing w:before="100" w:beforeAutospacing="1" w:after="100" w:afterAutospacing="1" w:line="480" w:lineRule="exact"/>
        <w:contextualSpacing/>
        <w:jc w:val="left"/>
        <w:rPr>
          <w:rFonts w:hint="eastAsia"/>
          <w:color w:val="auto"/>
          <w:highlight w:val="none"/>
          <w:lang w:val="en-US" w:eastAsia="zh-CN"/>
        </w:rPr>
      </w:pPr>
      <w:r>
        <w:drawing>
          <wp:anchor distT="0" distB="0" distL="114300" distR="114300" simplePos="0" relativeHeight="251660288" behindDoc="0" locked="0" layoutInCell="1" allowOverlap="1">
            <wp:simplePos x="0" y="0"/>
            <wp:positionH relativeFrom="column">
              <wp:posOffset>190500</wp:posOffset>
            </wp:positionH>
            <wp:positionV relativeFrom="paragraph">
              <wp:posOffset>2286000</wp:posOffset>
            </wp:positionV>
            <wp:extent cx="4953635" cy="3359785"/>
            <wp:effectExtent l="0" t="0" r="18415" b="12065"/>
            <wp:wrapTopAndBottom/>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4"/>
                    <a:stretch>
                      <a:fillRect/>
                    </a:stretch>
                  </pic:blipFill>
                  <pic:spPr>
                    <a:xfrm>
                      <a:off x="0" y="0"/>
                      <a:ext cx="4953635" cy="3359785"/>
                    </a:xfrm>
                    <a:prstGeom prst="rect">
                      <a:avLst/>
                    </a:prstGeom>
                    <a:noFill/>
                    <a:ln>
                      <a:noFill/>
                    </a:ln>
                  </pic:spPr>
                </pic:pic>
              </a:graphicData>
            </a:graphic>
          </wp:anchor>
        </w:drawing>
      </w:r>
      <w:r>
        <w:drawing>
          <wp:anchor distT="0" distB="0" distL="114935" distR="114935" simplePos="0" relativeHeight="251659264" behindDoc="0" locked="0" layoutInCell="1" allowOverlap="1">
            <wp:simplePos x="0" y="0"/>
            <wp:positionH relativeFrom="column">
              <wp:posOffset>142875</wp:posOffset>
            </wp:positionH>
            <wp:positionV relativeFrom="paragraph">
              <wp:posOffset>0</wp:posOffset>
            </wp:positionV>
            <wp:extent cx="5000625" cy="2146300"/>
            <wp:effectExtent l="0" t="0" r="9525" b="635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000625" cy="2146300"/>
                    </a:xfrm>
                    <a:prstGeom prst="rect">
                      <a:avLst/>
                    </a:prstGeom>
                    <a:noFill/>
                    <a:ln>
                      <a:noFill/>
                    </a:ln>
                  </pic:spPr>
                </pic:pic>
              </a:graphicData>
            </a:graphic>
          </wp:anchor>
        </w:drawing>
      </w:r>
    </w:p>
    <w:p w14:paraId="4C13979B">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0F17BC4B">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38DD327F">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6E6392A7">
      <w:pPr>
        <w:pStyle w:val="21"/>
        <w:widowControl/>
        <w:numPr>
          <w:ilvl w:val="0"/>
          <w:numId w:val="0"/>
        </w:numPr>
        <w:spacing w:before="100" w:beforeAutospacing="1" w:after="100" w:afterAutospacing="1" w:line="480" w:lineRule="exact"/>
        <w:contextualSpacing/>
        <w:jc w:val="left"/>
        <w:rPr>
          <w:rFonts w:hint="eastAsia"/>
          <w:color w:val="auto"/>
          <w:highlight w:val="none"/>
        </w:rPr>
      </w:pPr>
    </w:p>
    <w:p w14:paraId="18380A42">
      <w:pPr>
        <w:pStyle w:val="2"/>
        <w:numPr>
          <w:ilvl w:val="0"/>
          <w:numId w:val="0"/>
        </w:numPr>
        <w:tabs>
          <w:tab w:val="left" w:pos="0"/>
        </w:tabs>
        <w:bidi w:val="0"/>
        <w:spacing w:before="0" w:after="0" w:line="240" w:lineRule="auto"/>
        <w:jc w:val="center"/>
        <w:rPr>
          <w:rFonts w:hint="eastAsia" w:ascii="华文宋体" w:hAnsi="华文宋体" w:eastAsia="华文宋体" w:cs="华文宋体"/>
          <w:sz w:val="28"/>
          <w:szCs w:val="28"/>
        </w:rPr>
      </w:pPr>
      <w:r>
        <w:rPr>
          <w:rFonts w:hint="eastAsia" w:ascii="华文宋体" w:hAnsi="华文宋体" w:eastAsia="华文宋体" w:cs="华文宋体"/>
          <w:sz w:val="28"/>
          <w:szCs w:val="28"/>
          <w:lang w:eastAsia="zh-CN"/>
        </w:rPr>
        <w:t>天津市用水报装管理系统天津水务集团相关模块运维服务需求方案</w:t>
      </w:r>
    </w:p>
    <w:p w14:paraId="5073EACA">
      <w:pPr>
        <w:pStyle w:val="2"/>
        <w:numPr>
          <w:ilvl w:val="0"/>
          <w:numId w:val="0"/>
        </w:numPr>
        <w:tabs>
          <w:tab w:val="left" w:pos="0"/>
        </w:tabs>
        <w:bidi w:val="0"/>
        <w:spacing w:before="0" w:after="0" w:line="240" w:lineRule="auto"/>
        <w:ind w:firstLine="0" w:firstLineChars="0"/>
        <w:rPr>
          <w:rFonts w:hint="eastAsia" w:ascii="华文宋体" w:hAnsi="华文宋体" w:eastAsia="华文宋体" w:cs="华文宋体"/>
          <w:sz w:val="28"/>
          <w:szCs w:val="28"/>
          <w:lang w:eastAsia="zh-CN"/>
        </w:rPr>
      </w:pPr>
    </w:p>
    <w:p w14:paraId="5DC93268">
      <w:pPr>
        <w:pStyle w:val="2"/>
        <w:numPr>
          <w:ilvl w:val="0"/>
          <w:numId w:val="7"/>
        </w:numPr>
        <w:tabs>
          <w:tab w:val="left" w:pos="0"/>
        </w:tabs>
        <w:spacing w:before="0" w:after="0" w:line="240" w:lineRule="auto"/>
        <w:ind w:firstLine="0" w:firstLineChars="0"/>
        <w:rPr>
          <w:rFonts w:hint="eastAsia" w:ascii="华文宋体" w:hAnsi="华文宋体" w:eastAsia="华文宋体" w:cs="华文宋体"/>
          <w:b w:val="0"/>
          <w:bCs w:val="0"/>
          <w:sz w:val="28"/>
          <w:szCs w:val="28"/>
          <w:lang w:eastAsia="zh-CN"/>
        </w:rPr>
      </w:pPr>
      <w:r>
        <w:rPr>
          <w:rFonts w:hint="eastAsia" w:ascii="华文宋体" w:hAnsi="华文宋体" w:eastAsia="华文宋体" w:cs="华文宋体"/>
          <w:b w:val="0"/>
          <w:bCs w:val="0"/>
          <w:sz w:val="28"/>
          <w:szCs w:val="28"/>
          <w:lang w:eastAsia="zh-CN"/>
        </w:rPr>
        <w:t>项目概述</w:t>
      </w:r>
    </w:p>
    <w:p w14:paraId="0ADF1BF1">
      <w:pPr>
        <w:pStyle w:val="2"/>
        <w:numPr>
          <w:ilvl w:val="-1"/>
          <w:numId w:val="0"/>
        </w:numPr>
        <w:tabs>
          <w:tab w:val="left" w:pos="0"/>
        </w:tabs>
        <w:spacing w:before="0" w:after="0" w:line="240" w:lineRule="auto"/>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rPr>
        <w:t>为落实</w:t>
      </w:r>
      <w:r>
        <w:rPr>
          <w:rFonts w:hint="eastAsia" w:ascii="华文宋体" w:hAnsi="华文宋体" w:eastAsia="华文宋体" w:cs="华文宋体"/>
          <w:b w:val="0"/>
          <w:bCs w:val="0"/>
          <w:sz w:val="28"/>
          <w:szCs w:val="28"/>
          <w:lang w:eastAsia="zh-CN"/>
        </w:rPr>
        <w:t>好</w:t>
      </w:r>
      <w:r>
        <w:rPr>
          <w:rFonts w:hint="eastAsia" w:ascii="华文宋体" w:hAnsi="华文宋体" w:eastAsia="华文宋体" w:cs="华文宋体"/>
          <w:b w:val="0"/>
          <w:bCs w:val="0"/>
          <w:sz w:val="28"/>
          <w:szCs w:val="28"/>
        </w:rPr>
        <w:t>优化营商环境</w:t>
      </w:r>
      <w:r>
        <w:rPr>
          <w:rFonts w:hint="eastAsia" w:ascii="华文宋体" w:hAnsi="华文宋体" w:eastAsia="华文宋体" w:cs="华文宋体"/>
          <w:b w:val="0"/>
          <w:bCs w:val="0"/>
          <w:sz w:val="28"/>
          <w:szCs w:val="28"/>
          <w:lang w:eastAsia="zh-CN"/>
        </w:rPr>
        <w:t>工作</w:t>
      </w:r>
      <w:r>
        <w:rPr>
          <w:rFonts w:hint="eastAsia" w:ascii="华文宋体" w:hAnsi="华文宋体" w:eastAsia="华文宋体" w:cs="华文宋体"/>
          <w:b w:val="0"/>
          <w:bCs w:val="0"/>
          <w:sz w:val="28"/>
          <w:szCs w:val="28"/>
        </w:rPr>
        <w:t>要求，</w:t>
      </w:r>
      <w:r>
        <w:rPr>
          <w:rFonts w:hint="eastAsia" w:ascii="华文宋体" w:hAnsi="华文宋体" w:eastAsia="华文宋体" w:cs="华文宋体"/>
          <w:b w:val="0"/>
          <w:bCs w:val="0"/>
          <w:sz w:val="28"/>
          <w:szCs w:val="28"/>
          <w:lang w:eastAsia="zh-CN"/>
        </w:rPr>
        <w:t>市水务局所属</w:t>
      </w:r>
      <w:r>
        <w:rPr>
          <w:rFonts w:hint="eastAsia" w:ascii="华文宋体" w:hAnsi="华文宋体" w:eastAsia="华文宋体" w:cs="华文宋体"/>
          <w:b w:val="0"/>
          <w:bCs w:val="0"/>
          <w:sz w:val="28"/>
          <w:szCs w:val="28"/>
        </w:rPr>
        <w:t>市水文水资源管理中心于202</w:t>
      </w:r>
      <w:r>
        <w:rPr>
          <w:rFonts w:hint="eastAsia" w:ascii="华文宋体" w:hAnsi="华文宋体" w:eastAsia="华文宋体" w:cs="华文宋体"/>
          <w:b w:val="0"/>
          <w:bCs w:val="0"/>
          <w:sz w:val="28"/>
          <w:szCs w:val="28"/>
          <w:lang w:val="en-US" w:eastAsia="zh-CN"/>
        </w:rPr>
        <w:t>1</w:t>
      </w:r>
      <w:r>
        <w:rPr>
          <w:rFonts w:hint="eastAsia" w:ascii="华文宋体" w:hAnsi="华文宋体" w:eastAsia="华文宋体" w:cs="华文宋体"/>
          <w:b w:val="0"/>
          <w:bCs w:val="0"/>
          <w:sz w:val="28"/>
          <w:szCs w:val="28"/>
        </w:rPr>
        <w:t>年</w:t>
      </w:r>
      <w:r>
        <w:rPr>
          <w:rFonts w:hint="eastAsia" w:ascii="华文宋体" w:hAnsi="华文宋体" w:eastAsia="华文宋体" w:cs="华文宋体"/>
          <w:b w:val="0"/>
          <w:bCs w:val="0"/>
          <w:sz w:val="28"/>
          <w:szCs w:val="28"/>
          <w:lang w:eastAsia="zh-CN"/>
        </w:rPr>
        <w:t>建成</w:t>
      </w:r>
      <w:r>
        <w:rPr>
          <w:rFonts w:hint="eastAsia" w:ascii="华文宋体" w:hAnsi="华文宋体" w:eastAsia="华文宋体" w:cs="华文宋体"/>
          <w:b w:val="0"/>
          <w:bCs w:val="0"/>
          <w:sz w:val="28"/>
          <w:szCs w:val="28"/>
        </w:rPr>
        <w:t>上线</w:t>
      </w:r>
      <w:r>
        <w:rPr>
          <w:rFonts w:hint="eastAsia" w:ascii="华文宋体" w:hAnsi="华文宋体" w:eastAsia="华文宋体" w:cs="华文宋体"/>
          <w:b w:val="0"/>
          <w:bCs w:val="0"/>
          <w:sz w:val="28"/>
          <w:szCs w:val="28"/>
          <w:lang w:eastAsia="zh-CN"/>
        </w:rPr>
        <w:t>“天津市用水报装管理系统”</w:t>
      </w:r>
      <w:r>
        <w:rPr>
          <w:rFonts w:hint="eastAsia" w:ascii="华文宋体" w:hAnsi="华文宋体" w:eastAsia="华文宋体" w:cs="华文宋体"/>
          <w:b w:val="0"/>
          <w:bCs w:val="0"/>
          <w:sz w:val="28"/>
          <w:szCs w:val="28"/>
        </w:rPr>
        <w:t>，</w:t>
      </w:r>
      <w:r>
        <w:rPr>
          <w:rFonts w:hint="eastAsia" w:ascii="华文宋体" w:hAnsi="华文宋体" w:eastAsia="华文宋体" w:cs="华文宋体"/>
          <w:b w:val="0"/>
          <w:bCs w:val="0"/>
          <w:sz w:val="28"/>
          <w:szCs w:val="28"/>
          <w:lang w:eastAsia="zh-CN"/>
        </w:rPr>
        <w:t>该系统作为市级统一平台，已</w:t>
      </w:r>
      <w:r>
        <w:rPr>
          <w:rFonts w:hint="eastAsia" w:ascii="华文宋体" w:hAnsi="华文宋体" w:eastAsia="华文宋体" w:cs="华文宋体"/>
          <w:b w:val="0"/>
          <w:bCs w:val="0"/>
          <w:sz w:val="28"/>
          <w:szCs w:val="28"/>
        </w:rPr>
        <w:t>与</w:t>
      </w:r>
      <w:r>
        <w:rPr>
          <w:rFonts w:hint="eastAsia" w:ascii="华文宋体" w:hAnsi="华文宋体" w:eastAsia="华文宋体" w:cs="华文宋体"/>
          <w:b w:val="0"/>
          <w:bCs w:val="0"/>
          <w:sz w:val="28"/>
          <w:szCs w:val="28"/>
          <w:lang w:eastAsia="zh-CN"/>
        </w:rPr>
        <w:t>津心办</w:t>
      </w:r>
      <w:r>
        <w:rPr>
          <w:rFonts w:hint="eastAsia" w:ascii="华文宋体" w:hAnsi="华文宋体" w:eastAsia="华文宋体" w:cs="华文宋体"/>
          <w:b w:val="0"/>
          <w:bCs w:val="0"/>
          <w:sz w:val="28"/>
          <w:szCs w:val="28"/>
        </w:rPr>
        <w:t>App</w:t>
      </w:r>
      <w:r>
        <w:rPr>
          <w:rFonts w:hint="eastAsia" w:ascii="华文宋体" w:hAnsi="华文宋体" w:eastAsia="华文宋体" w:cs="华文宋体"/>
          <w:b w:val="0"/>
          <w:bCs w:val="0"/>
          <w:sz w:val="28"/>
          <w:szCs w:val="28"/>
          <w:lang w:eastAsia="zh-CN"/>
        </w:rPr>
        <w:t>等市级政务平台实现</w:t>
      </w:r>
      <w:r>
        <w:rPr>
          <w:rFonts w:hint="eastAsia" w:ascii="华文宋体" w:hAnsi="华文宋体" w:eastAsia="华文宋体" w:cs="华文宋体"/>
          <w:b w:val="0"/>
          <w:bCs w:val="0"/>
          <w:sz w:val="28"/>
          <w:szCs w:val="28"/>
        </w:rPr>
        <w:t>互联互通，</w:t>
      </w:r>
      <w:r>
        <w:rPr>
          <w:rFonts w:hint="eastAsia" w:ascii="华文宋体" w:hAnsi="华文宋体" w:eastAsia="华文宋体" w:cs="华文宋体"/>
          <w:b w:val="0"/>
          <w:bCs w:val="0"/>
          <w:sz w:val="28"/>
          <w:szCs w:val="28"/>
          <w:lang w:eastAsia="zh-CN"/>
        </w:rPr>
        <w:t>旨在推动全市</w:t>
      </w:r>
      <w:r>
        <w:rPr>
          <w:rFonts w:hint="eastAsia" w:ascii="华文宋体" w:hAnsi="华文宋体" w:eastAsia="华文宋体" w:cs="华文宋体"/>
          <w:b w:val="0"/>
          <w:bCs w:val="0"/>
          <w:sz w:val="28"/>
          <w:szCs w:val="28"/>
        </w:rPr>
        <w:t>高频</w:t>
      </w:r>
      <w:r>
        <w:rPr>
          <w:rFonts w:hint="eastAsia" w:ascii="华文宋体" w:hAnsi="华文宋体" w:eastAsia="华文宋体" w:cs="华文宋体"/>
          <w:b w:val="0"/>
          <w:bCs w:val="0"/>
          <w:sz w:val="28"/>
          <w:szCs w:val="28"/>
          <w:lang w:eastAsia="zh-CN"/>
        </w:rPr>
        <w:t>供水</w:t>
      </w:r>
      <w:r>
        <w:rPr>
          <w:rFonts w:hint="eastAsia" w:ascii="华文宋体" w:hAnsi="华文宋体" w:eastAsia="华文宋体" w:cs="华文宋体"/>
          <w:b w:val="0"/>
          <w:bCs w:val="0"/>
          <w:sz w:val="28"/>
          <w:szCs w:val="28"/>
        </w:rPr>
        <w:t>业务“一网通办”。用户通过</w:t>
      </w:r>
      <w:r>
        <w:rPr>
          <w:rFonts w:hint="eastAsia" w:ascii="华文宋体" w:hAnsi="华文宋体" w:eastAsia="华文宋体" w:cs="华文宋体"/>
          <w:b w:val="0"/>
          <w:bCs w:val="0"/>
          <w:sz w:val="28"/>
          <w:szCs w:val="28"/>
          <w:lang w:eastAsia="zh-CN"/>
        </w:rPr>
        <w:t>津心办</w:t>
      </w:r>
      <w:r>
        <w:rPr>
          <w:rFonts w:hint="eastAsia" w:ascii="华文宋体" w:hAnsi="华文宋体" w:eastAsia="华文宋体" w:cs="华文宋体"/>
          <w:b w:val="0"/>
          <w:bCs w:val="0"/>
          <w:sz w:val="28"/>
          <w:szCs w:val="28"/>
          <w:lang w:val="en-US" w:eastAsia="zh-CN"/>
        </w:rPr>
        <w:t>App</w:t>
      </w:r>
      <w:r>
        <w:rPr>
          <w:rFonts w:hint="eastAsia" w:ascii="华文宋体" w:hAnsi="华文宋体" w:eastAsia="华文宋体" w:cs="华文宋体"/>
          <w:b w:val="0"/>
          <w:bCs w:val="0"/>
          <w:sz w:val="28"/>
          <w:szCs w:val="28"/>
        </w:rPr>
        <w:t>提交供水诉求</w:t>
      </w:r>
      <w:r>
        <w:rPr>
          <w:rFonts w:hint="eastAsia" w:ascii="华文宋体" w:hAnsi="华文宋体" w:eastAsia="华文宋体" w:cs="华文宋体"/>
          <w:b w:val="0"/>
          <w:bCs w:val="0"/>
          <w:sz w:val="28"/>
          <w:szCs w:val="28"/>
          <w:lang w:eastAsia="zh-CN"/>
        </w:rPr>
        <w:t>后</w:t>
      </w:r>
      <w:r>
        <w:rPr>
          <w:rFonts w:hint="eastAsia" w:ascii="华文宋体" w:hAnsi="华文宋体" w:eastAsia="华文宋体" w:cs="华文宋体"/>
          <w:b w:val="0"/>
          <w:bCs w:val="0"/>
          <w:sz w:val="28"/>
          <w:szCs w:val="28"/>
        </w:rPr>
        <w:t>，</w:t>
      </w:r>
      <w:r>
        <w:rPr>
          <w:rFonts w:hint="eastAsia" w:ascii="华文宋体" w:hAnsi="华文宋体" w:eastAsia="华文宋体" w:cs="华文宋体"/>
          <w:b w:val="0"/>
          <w:bCs w:val="0"/>
          <w:sz w:val="28"/>
          <w:szCs w:val="28"/>
          <w:lang w:eastAsia="zh-CN"/>
        </w:rPr>
        <w:t>由该平台传派至集团</w:t>
      </w:r>
      <w:r>
        <w:rPr>
          <w:rFonts w:hint="eastAsia" w:ascii="华文宋体" w:hAnsi="华文宋体" w:eastAsia="华文宋体" w:cs="华文宋体"/>
          <w:b w:val="0"/>
          <w:bCs w:val="0"/>
          <w:sz w:val="28"/>
          <w:szCs w:val="28"/>
        </w:rPr>
        <w:t>受理承办，</w:t>
      </w:r>
      <w:r>
        <w:rPr>
          <w:rFonts w:hint="eastAsia" w:ascii="华文宋体" w:hAnsi="华文宋体" w:eastAsia="华文宋体" w:cs="华文宋体"/>
          <w:b w:val="0"/>
          <w:bCs w:val="0"/>
          <w:sz w:val="28"/>
          <w:szCs w:val="28"/>
          <w:lang w:eastAsia="zh-CN"/>
        </w:rPr>
        <w:t>并接受</w:t>
      </w:r>
      <w:r>
        <w:rPr>
          <w:rFonts w:hint="eastAsia" w:ascii="华文宋体" w:hAnsi="华文宋体" w:eastAsia="华文宋体" w:cs="华文宋体"/>
          <w:b w:val="0"/>
          <w:bCs w:val="0"/>
          <w:sz w:val="28"/>
          <w:szCs w:val="28"/>
        </w:rPr>
        <w:t>市、区级</w:t>
      </w:r>
      <w:r>
        <w:rPr>
          <w:rFonts w:hint="eastAsia" w:ascii="华文宋体" w:hAnsi="华文宋体" w:eastAsia="华文宋体" w:cs="华文宋体"/>
          <w:b w:val="0"/>
          <w:bCs w:val="0"/>
          <w:sz w:val="28"/>
          <w:szCs w:val="28"/>
          <w:lang w:eastAsia="zh-CN"/>
        </w:rPr>
        <w:t>水务</w:t>
      </w:r>
      <w:r>
        <w:rPr>
          <w:rFonts w:hint="eastAsia" w:ascii="华文宋体" w:hAnsi="华文宋体" w:eastAsia="华文宋体" w:cs="华文宋体"/>
          <w:b w:val="0"/>
          <w:bCs w:val="0"/>
          <w:sz w:val="28"/>
          <w:szCs w:val="28"/>
        </w:rPr>
        <w:t>部门监管。</w:t>
      </w:r>
    </w:p>
    <w:p w14:paraId="37265540">
      <w:pPr>
        <w:ind w:firstLine="560" w:firstLineChars="200"/>
        <w:rPr>
          <w:rFonts w:hint="eastAsia" w:ascii="华文宋体" w:hAnsi="华文宋体" w:eastAsia="华文宋体" w:cs="华文宋体"/>
          <w:sz w:val="28"/>
          <w:szCs w:val="28"/>
          <w:lang w:eastAsia="zh-CN"/>
        </w:rPr>
      </w:pPr>
      <w:r>
        <w:rPr>
          <w:rFonts w:hint="eastAsia" w:ascii="华文宋体" w:hAnsi="华文宋体" w:eastAsia="华文宋体" w:cs="华文宋体"/>
          <w:sz w:val="28"/>
          <w:szCs w:val="28"/>
          <w:lang w:eastAsia="zh-CN"/>
        </w:rPr>
        <w:t>鉴于天津水务集团是全市主要供水企业，承办大部分报装项目，同时具备成熟的客服工单传派系统，为确保水务集团及下属单位数据监管、跨系统数据交互、津心办端展示与故障报修同步等核心业务正常开展，提供全年专业化运维服务，满足日常运行、应急保障、政策适配等运维需求。</w:t>
      </w:r>
    </w:p>
    <w:p w14:paraId="03F47C49">
      <w:pPr>
        <w:ind w:firstLine="0" w:firstLineChars="0"/>
        <w:rPr>
          <w:rFonts w:hint="eastAsia" w:ascii="华文宋体" w:hAnsi="华文宋体" w:eastAsia="华文宋体" w:cs="华文宋体"/>
          <w:sz w:val="28"/>
          <w:szCs w:val="28"/>
          <w:lang w:eastAsia="zh-CN"/>
        </w:rPr>
      </w:pPr>
      <w:r>
        <w:rPr>
          <w:rFonts w:hint="eastAsia" w:ascii="华文宋体" w:hAnsi="华文宋体" w:eastAsia="华文宋体" w:cs="华文宋体"/>
          <w:sz w:val="28"/>
          <w:szCs w:val="28"/>
          <w:lang w:eastAsia="zh-CN"/>
        </w:rPr>
        <w:t>二、运维范围</w:t>
      </w:r>
    </w:p>
    <w:p w14:paraId="2BF3ADE1">
      <w:pPr>
        <w:numPr>
          <w:ilvl w:val="0"/>
          <w:numId w:val="0"/>
        </w:numPr>
        <w:ind w:firstLine="0" w:firstLineChars="0"/>
        <w:rPr>
          <w:rFonts w:hint="eastAsia" w:ascii="华文宋体" w:hAnsi="华文宋体" w:eastAsia="华文宋体" w:cs="华文宋体"/>
          <w:color w:val="auto"/>
          <w:sz w:val="28"/>
          <w:szCs w:val="28"/>
        </w:rPr>
      </w:pPr>
      <w:r>
        <w:rPr>
          <w:rFonts w:hint="eastAsia" w:ascii="华文宋体" w:hAnsi="华文宋体" w:eastAsia="华文宋体" w:cs="华文宋体"/>
          <w:color w:val="auto"/>
          <w:sz w:val="28"/>
          <w:szCs w:val="28"/>
          <w:lang w:eastAsia="zh-CN"/>
        </w:rPr>
        <w:t>（一）</w:t>
      </w:r>
      <w:r>
        <w:rPr>
          <w:rFonts w:hint="eastAsia" w:ascii="华文宋体" w:hAnsi="华文宋体" w:eastAsia="华文宋体" w:cs="华文宋体"/>
          <w:color w:val="auto"/>
          <w:sz w:val="28"/>
          <w:szCs w:val="28"/>
        </w:rPr>
        <w:t>“用水报装管理系统”</w:t>
      </w:r>
      <w:r>
        <w:rPr>
          <w:rFonts w:hint="eastAsia" w:ascii="华文宋体" w:hAnsi="华文宋体" w:eastAsia="华文宋体" w:cs="华文宋体"/>
          <w:color w:val="auto"/>
          <w:sz w:val="28"/>
          <w:szCs w:val="28"/>
          <w:lang w:eastAsia="zh-CN"/>
        </w:rPr>
        <w:t>供水企业专属权限运维：</w:t>
      </w:r>
      <w:r>
        <w:rPr>
          <w:rFonts w:hint="eastAsia" w:ascii="华文宋体" w:hAnsi="华文宋体" w:eastAsia="华文宋体" w:cs="华文宋体"/>
          <w:color w:val="auto"/>
          <w:sz w:val="28"/>
          <w:szCs w:val="28"/>
        </w:rPr>
        <w:t>为集团</w:t>
      </w:r>
      <w:r>
        <w:rPr>
          <w:rFonts w:hint="eastAsia" w:ascii="华文宋体" w:hAnsi="华文宋体" w:eastAsia="华文宋体" w:cs="华文宋体"/>
          <w:color w:val="auto"/>
          <w:sz w:val="28"/>
          <w:szCs w:val="28"/>
          <w:lang w:eastAsia="zh-CN"/>
        </w:rPr>
        <w:t>水务运营管理部及各区域供水公司用水报装项目管理人员</w:t>
      </w:r>
      <w:r>
        <w:rPr>
          <w:rFonts w:hint="eastAsia" w:ascii="华文宋体" w:hAnsi="华文宋体" w:eastAsia="华文宋体" w:cs="华文宋体"/>
          <w:color w:val="auto"/>
          <w:sz w:val="28"/>
          <w:szCs w:val="28"/>
        </w:rPr>
        <w:t>配置的专属权限账号</w:t>
      </w:r>
      <w:r>
        <w:rPr>
          <w:rFonts w:hint="eastAsia" w:ascii="华文宋体" w:hAnsi="华文宋体" w:eastAsia="华文宋体" w:cs="华文宋体"/>
          <w:color w:val="auto"/>
          <w:sz w:val="28"/>
          <w:szCs w:val="28"/>
          <w:lang w:eastAsia="zh-CN"/>
        </w:rPr>
        <w:t>及功能页面提供年度运维支持</w:t>
      </w:r>
      <w:r>
        <w:rPr>
          <w:rFonts w:hint="eastAsia" w:ascii="华文宋体" w:hAnsi="华文宋体" w:eastAsia="华文宋体" w:cs="华文宋体"/>
          <w:color w:val="auto"/>
          <w:sz w:val="28"/>
          <w:szCs w:val="28"/>
        </w:rPr>
        <w:t>。</w:t>
      </w:r>
    </w:p>
    <w:p w14:paraId="255037A0">
      <w:pPr>
        <w:numPr>
          <w:ilvl w:val="0"/>
          <w:numId w:val="0"/>
        </w:numPr>
        <w:ind w:firstLine="0" w:firstLineChars="0"/>
        <w:rPr>
          <w:rFonts w:hint="eastAsia" w:ascii="华文宋体" w:hAnsi="华文宋体" w:eastAsia="华文宋体" w:cs="华文宋体"/>
          <w:color w:val="auto"/>
          <w:sz w:val="28"/>
          <w:szCs w:val="28"/>
          <w:lang w:eastAsia="zh-CN"/>
        </w:rPr>
      </w:pPr>
      <w:r>
        <w:rPr>
          <w:rFonts w:hint="eastAsia" w:ascii="华文宋体" w:hAnsi="华文宋体" w:eastAsia="华文宋体" w:cs="华文宋体"/>
          <w:color w:val="auto"/>
          <w:sz w:val="28"/>
          <w:szCs w:val="28"/>
          <w:lang w:eastAsia="zh-CN"/>
        </w:rPr>
        <w:t>（二）</w:t>
      </w:r>
      <w:r>
        <w:rPr>
          <w:rFonts w:hint="eastAsia" w:ascii="华文宋体" w:hAnsi="华文宋体" w:eastAsia="华文宋体" w:cs="华文宋体"/>
          <w:color w:val="auto"/>
          <w:sz w:val="28"/>
          <w:szCs w:val="28"/>
        </w:rPr>
        <w:t>津心办APP报修模块与</w:t>
      </w:r>
      <w:r>
        <w:rPr>
          <w:rFonts w:hint="eastAsia" w:ascii="华文宋体" w:hAnsi="华文宋体" w:eastAsia="华文宋体" w:cs="华文宋体"/>
          <w:color w:val="auto"/>
          <w:sz w:val="28"/>
          <w:szCs w:val="28"/>
          <w:lang w:eastAsia="zh-CN"/>
        </w:rPr>
        <w:t>天津水务</w:t>
      </w:r>
      <w:r>
        <w:rPr>
          <w:rFonts w:hint="eastAsia" w:ascii="华文宋体" w:hAnsi="华文宋体" w:eastAsia="华文宋体" w:cs="华文宋体"/>
          <w:color w:val="auto"/>
          <w:sz w:val="28"/>
          <w:szCs w:val="28"/>
        </w:rPr>
        <w:t>集团客服工单系统的数据接口</w:t>
      </w:r>
      <w:r>
        <w:rPr>
          <w:rFonts w:hint="eastAsia" w:ascii="华文宋体" w:hAnsi="华文宋体" w:eastAsia="华文宋体" w:cs="华文宋体"/>
          <w:color w:val="auto"/>
          <w:sz w:val="28"/>
          <w:szCs w:val="28"/>
          <w:lang w:eastAsia="zh-CN"/>
        </w:rPr>
        <w:t>运维保障</w:t>
      </w:r>
      <w:r>
        <w:rPr>
          <w:rFonts w:hint="eastAsia" w:ascii="华文宋体" w:hAnsi="华文宋体" w:eastAsia="华文宋体" w:cs="华文宋体"/>
          <w:color w:val="auto"/>
          <w:sz w:val="28"/>
          <w:szCs w:val="28"/>
        </w:rPr>
        <w:t>。</w:t>
      </w:r>
    </w:p>
    <w:p w14:paraId="085B301A">
      <w:pPr>
        <w:ind w:firstLine="0" w:firstLineChars="0"/>
        <w:rPr>
          <w:rFonts w:hint="eastAsia" w:ascii="华文宋体" w:hAnsi="华文宋体" w:eastAsia="华文宋体" w:cs="华文宋体"/>
          <w:sz w:val="28"/>
          <w:szCs w:val="28"/>
          <w:lang w:eastAsia="zh-CN"/>
        </w:rPr>
      </w:pPr>
      <w:r>
        <w:rPr>
          <w:rFonts w:hint="eastAsia" w:ascii="华文宋体" w:hAnsi="华文宋体" w:eastAsia="华文宋体" w:cs="华文宋体"/>
          <w:sz w:val="28"/>
          <w:szCs w:val="28"/>
          <w:lang w:eastAsia="zh-CN"/>
        </w:rPr>
        <w:t>三</w:t>
      </w:r>
      <w:r>
        <w:rPr>
          <w:rFonts w:hint="eastAsia" w:ascii="华文宋体" w:hAnsi="华文宋体" w:eastAsia="华文宋体" w:cs="华文宋体"/>
          <w:sz w:val="28"/>
          <w:szCs w:val="28"/>
        </w:rPr>
        <w:t>、运维服务</w:t>
      </w:r>
      <w:r>
        <w:rPr>
          <w:rFonts w:hint="eastAsia" w:ascii="华文宋体" w:hAnsi="华文宋体" w:eastAsia="华文宋体" w:cs="华文宋体"/>
          <w:sz w:val="28"/>
          <w:szCs w:val="28"/>
          <w:lang w:eastAsia="zh-CN"/>
        </w:rPr>
        <w:t>需求内容</w:t>
      </w:r>
    </w:p>
    <w:p w14:paraId="27BC242F">
      <w:pPr>
        <w:ind w:firstLine="0" w:firstLineChars="0"/>
        <w:rPr>
          <w:rFonts w:hint="eastAsia" w:ascii="华文宋体" w:hAnsi="华文宋体" w:eastAsia="华文宋体" w:cs="华文宋体"/>
          <w:color w:val="auto"/>
          <w:sz w:val="28"/>
          <w:szCs w:val="28"/>
        </w:rPr>
      </w:pPr>
      <w:r>
        <w:rPr>
          <w:rFonts w:hint="eastAsia" w:ascii="华文宋体" w:hAnsi="华文宋体" w:eastAsia="华文宋体" w:cs="华文宋体"/>
          <w:color w:val="auto"/>
          <w:sz w:val="28"/>
          <w:szCs w:val="28"/>
          <w:lang w:eastAsia="zh-CN"/>
        </w:rPr>
        <w:t>经与业务部门初步沟通，服务需求方案如下：</w:t>
      </w:r>
    </w:p>
    <w:p w14:paraId="51C037E6">
      <w:pPr>
        <w:pStyle w:val="3"/>
        <w:numPr>
          <w:ilvl w:val="-1"/>
          <w:numId w:val="0"/>
        </w:numPr>
        <w:tabs>
          <w:tab w:val="left" w:pos="0"/>
        </w:tabs>
        <w:spacing w:before="0" w:after="0" w:line="240" w:lineRule="auto"/>
        <w:ind w:left="640" w:leftChars="0" w:firstLine="0" w:firstLineChars="0"/>
        <w:jc w:val="left"/>
        <w:rPr>
          <w:rFonts w:hint="eastAsia" w:ascii="华文宋体" w:hAnsi="华文宋体" w:eastAsia="华文宋体" w:cs="华文宋体"/>
          <w:szCs w:val="28"/>
        </w:rPr>
      </w:pPr>
      <w:r>
        <w:rPr>
          <w:rFonts w:hint="eastAsia" w:ascii="华文宋体" w:hAnsi="华文宋体" w:eastAsia="华文宋体" w:cs="华文宋体"/>
          <w:szCs w:val="28"/>
          <w:lang w:eastAsia="zh-CN"/>
        </w:rPr>
        <w:t>（一）服务需求内容</w:t>
      </w:r>
    </w:p>
    <w:p w14:paraId="7715F532">
      <w:pPr>
        <w:numPr>
          <w:ilvl w:val="-1"/>
          <w:numId w:val="0"/>
        </w:numPr>
        <w:ind w:firstLine="0" w:firstLineChars="0"/>
        <w:jc w:val="left"/>
        <w:rPr>
          <w:rFonts w:hint="eastAsia" w:ascii="华文宋体" w:hAnsi="华文宋体" w:eastAsia="华文宋体" w:cs="华文宋体"/>
          <w:b/>
          <w:bCs/>
          <w:color w:val="auto"/>
          <w:sz w:val="28"/>
          <w:szCs w:val="28"/>
          <w:lang w:eastAsia="zh-CN"/>
        </w:rPr>
      </w:pPr>
      <w:r>
        <w:rPr>
          <w:rFonts w:hint="eastAsia" w:ascii="华文宋体" w:hAnsi="华文宋体" w:eastAsia="华文宋体" w:cs="华文宋体"/>
          <w:color w:val="auto"/>
          <w:sz w:val="28"/>
          <w:szCs w:val="28"/>
          <w:lang w:val="en-US" w:eastAsia="zh-CN"/>
        </w:rPr>
        <w:t>1.</w:t>
      </w:r>
      <w:r>
        <w:rPr>
          <w:rFonts w:hint="eastAsia" w:ascii="华文宋体" w:hAnsi="华文宋体" w:eastAsia="华文宋体" w:cs="华文宋体"/>
          <w:b/>
          <w:bCs/>
          <w:color w:val="auto"/>
          <w:sz w:val="28"/>
          <w:szCs w:val="28"/>
        </w:rPr>
        <w:t>数据通道与监管端功能年度维护优化</w:t>
      </w:r>
    </w:p>
    <w:p w14:paraId="1D5017AD">
      <w:pPr>
        <w:keepNext w:val="0"/>
        <w:keepLines w:val="0"/>
        <w:widowControl/>
        <w:numPr>
          <w:ilvl w:val="0"/>
          <w:numId w:val="8"/>
        </w:numPr>
        <w:suppressLineNumbers w:val="0"/>
        <w:ind w:firstLine="0" w:firstLineChars="0"/>
        <w:jc w:val="both"/>
        <w:rPr>
          <w:rFonts w:hint="eastAsia" w:ascii="华文宋体" w:hAnsi="华文宋体" w:eastAsia="华文宋体" w:cs="华文宋体"/>
          <w:color w:val="auto"/>
          <w:sz w:val="28"/>
          <w:szCs w:val="28"/>
          <w:lang w:eastAsia="zh-CN"/>
        </w:rPr>
      </w:pPr>
      <w:r>
        <w:rPr>
          <w:rFonts w:hint="eastAsia" w:ascii="华文宋体" w:hAnsi="华文宋体" w:eastAsia="华文宋体" w:cs="华文宋体"/>
          <w:color w:val="auto"/>
          <w:sz w:val="28"/>
          <w:szCs w:val="28"/>
          <w:highlight w:val="none"/>
          <w:lang w:eastAsia="zh-CN"/>
        </w:rPr>
        <w:t>维护适配接口，</w:t>
      </w:r>
      <w:r>
        <w:rPr>
          <w:rFonts w:hint="eastAsia" w:ascii="华文宋体" w:hAnsi="华文宋体" w:eastAsia="华文宋体" w:cs="华文宋体"/>
          <w:color w:val="auto"/>
          <w:sz w:val="28"/>
          <w:szCs w:val="28"/>
          <w:lang w:eastAsia="zh-CN"/>
        </w:rPr>
        <w:t>实现津心办APP/小程序、“天津用水报装管理系统”的“报修”数据自动同步至集团客服工单系统，并完成数据实时回传与用户端展示。后续年度优化、修复漏洞，迭代反馈流程与展示效果。</w:t>
      </w:r>
    </w:p>
    <w:p w14:paraId="415C083E">
      <w:pPr>
        <w:keepNext w:val="0"/>
        <w:keepLines w:val="0"/>
        <w:widowControl/>
        <w:numPr>
          <w:ilvl w:val="0"/>
          <w:numId w:val="8"/>
        </w:numPr>
        <w:suppressLineNumbers w:val="0"/>
        <w:ind w:firstLine="0" w:firstLineChars="0"/>
        <w:jc w:val="left"/>
        <w:rPr>
          <w:rFonts w:hint="eastAsia" w:ascii="华文宋体" w:hAnsi="华文宋体" w:eastAsia="华文宋体" w:cs="华文宋体"/>
          <w:color w:val="auto"/>
          <w:sz w:val="28"/>
          <w:szCs w:val="28"/>
        </w:rPr>
      </w:pPr>
      <w:r>
        <w:rPr>
          <w:rFonts w:hint="eastAsia" w:ascii="华文宋体" w:hAnsi="华文宋体" w:eastAsia="华文宋体" w:cs="华文宋体"/>
          <w:color w:val="auto"/>
          <w:sz w:val="28"/>
          <w:szCs w:val="28"/>
          <w:lang w:eastAsia="zh-CN"/>
        </w:rPr>
        <w:t>维护</w:t>
      </w:r>
      <w:r>
        <w:rPr>
          <w:rFonts w:hint="eastAsia" w:ascii="华文宋体" w:hAnsi="华文宋体" w:eastAsia="华文宋体" w:cs="华文宋体"/>
          <w:color w:val="auto"/>
          <w:sz w:val="28"/>
          <w:szCs w:val="28"/>
        </w:rPr>
        <w:t>集团及</w:t>
      </w:r>
      <w:r>
        <w:rPr>
          <w:rFonts w:hint="eastAsia" w:ascii="华文宋体" w:hAnsi="华文宋体" w:eastAsia="华文宋体" w:cs="华文宋体"/>
          <w:color w:val="auto"/>
          <w:sz w:val="28"/>
          <w:szCs w:val="28"/>
          <w:lang w:eastAsia="zh-CN"/>
        </w:rPr>
        <w:t>各</w:t>
      </w:r>
      <w:r>
        <w:rPr>
          <w:rFonts w:hint="eastAsia" w:ascii="华文宋体" w:hAnsi="华文宋体" w:eastAsia="华文宋体" w:cs="华文宋体"/>
          <w:color w:val="auto"/>
          <w:sz w:val="28"/>
          <w:szCs w:val="28"/>
        </w:rPr>
        <w:t>区域供水公司数据监管端功能。在“天津用水报装管理系统”</w:t>
      </w:r>
      <w:r>
        <w:rPr>
          <w:rFonts w:hint="eastAsia" w:ascii="华文宋体" w:hAnsi="华文宋体" w:eastAsia="华文宋体" w:cs="华文宋体"/>
          <w:color w:val="auto"/>
          <w:sz w:val="28"/>
          <w:szCs w:val="28"/>
          <w:lang w:eastAsia="zh-CN"/>
        </w:rPr>
        <w:t>运维</w:t>
      </w:r>
      <w:r>
        <w:rPr>
          <w:rFonts w:hint="eastAsia" w:ascii="华文宋体" w:hAnsi="华文宋体" w:eastAsia="华文宋体" w:cs="华文宋体"/>
          <w:color w:val="auto"/>
          <w:sz w:val="28"/>
          <w:szCs w:val="28"/>
        </w:rPr>
        <w:t>“水务集团”用户角色并配置专属权限，</w:t>
      </w:r>
      <w:r>
        <w:rPr>
          <w:rFonts w:hint="eastAsia" w:ascii="华文宋体" w:hAnsi="华文宋体" w:eastAsia="华文宋体" w:cs="华文宋体"/>
          <w:color w:val="auto"/>
          <w:sz w:val="28"/>
          <w:szCs w:val="28"/>
          <w:lang w:eastAsia="zh-CN"/>
        </w:rPr>
        <w:t>完善</w:t>
      </w:r>
      <w:r>
        <w:rPr>
          <w:rFonts w:hint="eastAsia" w:ascii="华文宋体" w:hAnsi="华文宋体" w:eastAsia="华文宋体" w:cs="华文宋体"/>
          <w:color w:val="auto"/>
          <w:sz w:val="28"/>
          <w:szCs w:val="28"/>
        </w:rPr>
        <w:t>多维度条件查询</w:t>
      </w:r>
      <w:r>
        <w:rPr>
          <w:rFonts w:hint="eastAsia" w:ascii="华文宋体" w:hAnsi="华文宋体" w:eastAsia="华文宋体" w:cs="华文宋体"/>
          <w:color w:val="auto"/>
          <w:sz w:val="28"/>
          <w:szCs w:val="28"/>
          <w:lang w:eastAsia="zh-CN"/>
        </w:rPr>
        <w:t>、筛选、导出</w:t>
      </w:r>
      <w:r>
        <w:rPr>
          <w:rFonts w:hint="eastAsia" w:ascii="华文宋体" w:hAnsi="华文宋体" w:eastAsia="华文宋体" w:cs="华文宋体"/>
          <w:color w:val="auto"/>
          <w:sz w:val="28"/>
          <w:szCs w:val="28"/>
        </w:rPr>
        <w:t>功能；后续年度</w:t>
      </w:r>
      <w:r>
        <w:rPr>
          <w:rFonts w:hint="eastAsia" w:ascii="华文宋体" w:hAnsi="华文宋体" w:eastAsia="华文宋体" w:cs="华文宋体"/>
          <w:color w:val="auto"/>
          <w:sz w:val="28"/>
          <w:szCs w:val="28"/>
          <w:lang w:eastAsia="zh-CN"/>
        </w:rPr>
        <w:t>根据上级政策及业务需求进行年度优化</w:t>
      </w:r>
      <w:r>
        <w:rPr>
          <w:rFonts w:hint="eastAsia" w:ascii="华文宋体" w:hAnsi="华文宋体" w:eastAsia="华文宋体" w:cs="华文宋体"/>
          <w:color w:val="auto"/>
          <w:sz w:val="28"/>
          <w:szCs w:val="28"/>
        </w:rPr>
        <w:t>。</w:t>
      </w:r>
    </w:p>
    <w:p w14:paraId="66921C3B">
      <w:pPr>
        <w:keepNext w:val="0"/>
        <w:keepLines w:val="0"/>
        <w:widowControl/>
        <w:numPr>
          <w:ilvl w:val="-1"/>
          <w:numId w:val="0"/>
        </w:numPr>
        <w:suppressLineNumbers w:val="0"/>
        <w:ind w:firstLine="0" w:firstLineChars="0"/>
        <w:jc w:val="left"/>
        <w:rPr>
          <w:rFonts w:hint="eastAsia" w:ascii="华文宋体" w:hAnsi="华文宋体" w:eastAsia="华文宋体" w:cs="华文宋体"/>
          <w:color w:val="auto"/>
          <w:sz w:val="28"/>
          <w:szCs w:val="28"/>
        </w:rPr>
      </w:pPr>
      <w:r>
        <w:rPr>
          <w:rFonts w:hint="eastAsia" w:ascii="华文宋体" w:hAnsi="华文宋体" w:eastAsia="华文宋体" w:cs="华文宋体"/>
          <w:b/>
          <w:bCs/>
          <w:color w:val="auto"/>
          <w:sz w:val="28"/>
          <w:szCs w:val="28"/>
          <w:lang w:val="en-US" w:eastAsia="zh-CN"/>
        </w:rPr>
        <w:t>2.</w:t>
      </w:r>
      <w:r>
        <w:rPr>
          <w:rFonts w:hint="eastAsia" w:ascii="华文宋体" w:hAnsi="华文宋体" w:eastAsia="华文宋体" w:cs="华文宋体"/>
          <w:b/>
          <w:bCs/>
          <w:color w:val="auto"/>
          <w:sz w:val="28"/>
          <w:szCs w:val="28"/>
        </w:rPr>
        <w:t>接口监控与故障修复人力</w:t>
      </w:r>
      <w:r>
        <w:rPr>
          <w:rFonts w:hint="eastAsia" w:ascii="华文宋体" w:hAnsi="华文宋体" w:eastAsia="华文宋体" w:cs="华文宋体"/>
          <w:b/>
          <w:bCs/>
          <w:color w:val="auto"/>
          <w:sz w:val="28"/>
          <w:szCs w:val="28"/>
          <w:lang w:eastAsia="zh-CN"/>
        </w:rPr>
        <w:t>：</w:t>
      </w:r>
      <w:r>
        <w:rPr>
          <w:rFonts w:hint="eastAsia" w:ascii="华文宋体" w:hAnsi="华文宋体" w:eastAsia="华文宋体" w:cs="华文宋体"/>
          <w:color w:val="auto"/>
          <w:sz w:val="28"/>
          <w:szCs w:val="28"/>
        </w:rPr>
        <w:t>含运维人员轮班保障</w:t>
      </w:r>
      <w:r>
        <w:rPr>
          <w:rFonts w:hint="eastAsia" w:ascii="华文宋体" w:hAnsi="华文宋体" w:eastAsia="华文宋体" w:cs="华文宋体"/>
          <w:color w:val="auto"/>
          <w:sz w:val="28"/>
          <w:szCs w:val="28"/>
          <w:lang w:eastAsia="zh-CN"/>
        </w:rPr>
        <w:t>，</w:t>
      </w:r>
      <w:r>
        <w:rPr>
          <w:rFonts w:hint="eastAsia" w:ascii="华文宋体" w:hAnsi="华文宋体" w:eastAsia="华文宋体" w:cs="华文宋体"/>
          <w:color w:val="auto"/>
          <w:sz w:val="28"/>
          <w:szCs w:val="28"/>
        </w:rPr>
        <w:t>全年7×12小时接口监控，技术问题及故障分级响应并处置，每季度性能优化。</w:t>
      </w:r>
    </w:p>
    <w:p w14:paraId="1D143C2C">
      <w:pPr>
        <w:keepNext w:val="0"/>
        <w:keepLines w:val="0"/>
        <w:widowControl/>
        <w:numPr>
          <w:ilvl w:val="-1"/>
          <w:numId w:val="0"/>
        </w:numPr>
        <w:suppressLineNumbers w:val="0"/>
        <w:ind w:firstLine="0" w:firstLineChars="0"/>
        <w:jc w:val="left"/>
        <w:rPr>
          <w:rFonts w:hint="eastAsia" w:ascii="华文宋体" w:hAnsi="华文宋体" w:eastAsia="华文宋体" w:cs="华文宋体"/>
          <w:color w:val="auto"/>
          <w:sz w:val="28"/>
          <w:szCs w:val="28"/>
        </w:rPr>
      </w:pPr>
      <w:r>
        <w:rPr>
          <w:rFonts w:hint="eastAsia" w:ascii="华文宋体" w:hAnsi="华文宋体" w:eastAsia="华文宋体" w:cs="华文宋体"/>
          <w:b/>
          <w:bCs/>
          <w:color w:val="auto"/>
          <w:sz w:val="28"/>
          <w:szCs w:val="28"/>
          <w:lang w:val="en-US" w:eastAsia="zh-CN"/>
        </w:rPr>
        <w:t>3.</w:t>
      </w:r>
      <w:r>
        <w:rPr>
          <w:rFonts w:hint="eastAsia" w:ascii="华文宋体" w:hAnsi="华文宋体" w:eastAsia="华文宋体" w:cs="华文宋体"/>
          <w:b/>
          <w:bCs/>
          <w:color w:val="auto"/>
          <w:sz w:val="28"/>
          <w:szCs w:val="28"/>
        </w:rPr>
        <w:t>新增需求与功能迭代技术支持成本</w:t>
      </w:r>
      <w:r>
        <w:rPr>
          <w:rFonts w:hint="eastAsia" w:ascii="华文宋体" w:hAnsi="华文宋体" w:eastAsia="华文宋体" w:cs="华文宋体"/>
          <w:b/>
          <w:bCs/>
          <w:color w:val="auto"/>
          <w:sz w:val="28"/>
          <w:szCs w:val="28"/>
          <w:lang w:eastAsia="zh-CN"/>
        </w:rPr>
        <w:t>：</w:t>
      </w:r>
      <w:r>
        <w:rPr>
          <w:rFonts w:hint="eastAsia" w:ascii="华文宋体" w:hAnsi="华文宋体" w:eastAsia="华文宋体" w:cs="华文宋体"/>
          <w:color w:val="auto"/>
          <w:sz w:val="28"/>
          <w:szCs w:val="28"/>
        </w:rPr>
        <w:t>含上级政策适配</w:t>
      </w:r>
      <w:r>
        <w:rPr>
          <w:rFonts w:hint="eastAsia" w:ascii="华文宋体" w:hAnsi="华文宋体" w:eastAsia="华文宋体" w:cs="华文宋体"/>
          <w:color w:val="auto"/>
          <w:sz w:val="28"/>
          <w:szCs w:val="28"/>
          <w:lang w:eastAsia="zh-CN"/>
        </w:rPr>
        <w:t>运维，</w:t>
      </w:r>
      <w:r>
        <w:rPr>
          <w:rFonts w:hint="eastAsia" w:ascii="华文宋体" w:hAnsi="华文宋体" w:eastAsia="华文宋体" w:cs="华文宋体"/>
          <w:color w:val="auto"/>
          <w:sz w:val="28"/>
          <w:szCs w:val="28"/>
        </w:rPr>
        <w:t>每年提供不超过3次数据接口</w:t>
      </w:r>
      <w:r>
        <w:rPr>
          <w:rFonts w:hint="eastAsia" w:ascii="华文宋体" w:hAnsi="华文宋体" w:eastAsia="华文宋体" w:cs="华文宋体"/>
          <w:color w:val="auto"/>
          <w:sz w:val="28"/>
          <w:szCs w:val="28"/>
          <w:lang w:eastAsia="zh-CN"/>
        </w:rPr>
        <w:t>优化</w:t>
      </w:r>
      <w:r>
        <w:rPr>
          <w:rFonts w:hint="eastAsia" w:ascii="华文宋体" w:hAnsi="华文宋体" w:eastAsia="华文宋体" w:cs="华文宋体"/>
          <w:color w:val="auto"/>
          <w:sz w:val="28"/>
          <w:szCs w:val="28"/>
        </w:rPr>
        <w:t>、2次功能迭代</w:t>
      </w:r>
      <w:r>
        <w:rPr>
          <w:rFonts w:hint="eastAsia" w:ascii="华文宋体" w:hAnsi="华文宋体" w:eastAsia="华文宋体" w:cs="华文宋体"/>
          <w:color w:val="auto"/>
          <w:sz w:val="28"/>
          <w:szCs w:val="28"/>
          <w:lang w:eastAsia="zh-CN"/>
        </w:rPr>
        <w:t>优化</w:t>
      </w:r>
      <w:r>
        <w:rPr>
          <w:rFonts w:hint="eastAsia" w:ascii="华文宋体" w:hAnsi="华文宋体" w:eastAsia="华文宋体" w:cs="华文宋体"/>
          <w:color w:val="auto"/>
          <w:sz w:val="28"/>
          <w:szCs w:val="28"/>
        </w:rPr>
        <w:t>。</w:t>
      </w:r>
    </w:p>
    <w:p w14:paraId="5158AAA5">
      <w:pPr>
        <w:keepNext w:val="0"/>
        <w:keepLines w:val="0"/>
        <w:widowControl/>
        <w:numPr>
          <w:ilvl w:val="-1"/>
          <w:numId w:val="0"/>
        </w:numPr>
        <w:suppressLineNumbers w:val="0"/>
        <w:ind w:firstLine="0" w:firstLineChars="0"/>
        <w:jc w:val="left"/>
        <w:rPr>
          <w:rFonts w:hint="eastAsia" w:ascii="华文宋体" w:hAnsi="华文宋体" w:eastAsia="华文宋体" w:cs="华文宋体"/>
          <w:color w:val="auto"/>
          <w:sz w:val="28"/>
          <w:szCs w:val="28"/>
        </w:rPr>
      </w:pPr>
      <w:r>
        <w:rPr>
          <w:rFonts w:hint="eastAsia" w:ascii="华文宋体" w:hAnsi="华文宋体" w:eastAsia="华文宋体" w:cs="华文宋体"/>
          <w:b/>
          <w:bCs/>
          <w:color w:val="auto"/>
          <w:sz w:val="28"/>
          <w:szCs w:val="28"/>
          <w:lang w:val="en-US" w:eastAsia="zh-CN"/>
        </w:rPr>
        <w:t>4.</w:t>
      </w:r>
      <w:r>
        <w:rPr>
          <w:rFonts w:hint="eastAsia" w:ascii="华文宋体" w:hAnsi="华文宋体" w:eastAsia="华文宋体" w:cs="华文宋体"/>
          <w:b/>
          <w:bCs/>
          <w:color w:val="auto"/>
          <w:sz w:val="28"/>
          <w:szCs w:val="28"/>
        </w:rPr>
        <w:t>日常技术咨询与运行报告生成服务成本</w:t>
      </w:r>
      <w:r>
        <w:rPr>
          <w:rFonts w:hint="eastAsia" w:ascii="华文宋体" w:hAnsi="华文宋体" w:eastAsia="华文宋体" w:cs="华文宋体"/>
          <w:b/>
          <w:bCs/>
          <w:color w:val="auto"/>
          <w:sz w:val="28"/>
          <w:szCs w:val="28"/>
          <w:lang w:eastAsia="zh-CN"/>
        </w:rPr>
        <w:t>：</w:t>
      </w:r>
      <w:r>
        <w:rPr>
          <w:rFonts w:hint="eastAsia" w:ascii="华文宋体" w:hAnsi="华文宋体" w:eastAsia="华文宋体" w:cs="华文宋体"/>
          <w:color w:val="auto"/>
          <w:sz w:val="28"/>
          <w:szCs w:val="28"/>
        </w:rPr>
        <w:t>确保服务响应效率与功能适配性满足集团长期业务需求</w:t>
      </w:r>
      <w:r>
        <w:rPr>
          <w:rFonts w:hint="eastAsia" w:ascii="华文宋体" w:hAnsi="华文宋体" w:eastAsia="华文宋体" w:cs="华文宋体"/>
          <w:color w:val="auto"/>
          <w:sz w:val="28"/>
          <w:szCs w:val="28"/>
          <w:lang w:eastAsia="zh-CN"/>
        </w:rPr>
        <w:t>，</w:t>
      </w:r>
      <w:r>
        <w:rPr>
          <w:rFonts w:hint="eastAsia" w:ascii="华文宋体" w:hAnsi="华文宋体" w:eastAsia="华文宋体" w:cs="华文宋体"/>
          <w:color w:val="auto"/>
          <w:sz w:val="28"/>
          <w:szCs w:val="28"/>
        </w:rPr>
        <w:t>全年7×12 小时技术咨询，每月生成系统运行报告。</w:t>
      </w:r>
    </w:p>
    <w:p w14:paraId="5D710980">
      <w:pPr>
        <w:pStyle w:val="3"/>
        <w:numPr>
          <w:ilvl w:val="-1"/>
          <w:numId w:val="0"/>
        </w:numPr>
        <w:tabs>
          <w:tab w:val="left" w:pos="0"/>
        </w:tabs>
        <w:spacing w:before="0" w:after="0" w:line="240" w:lineRule="auto"/>
        <w:ind w:left="0" w:leftChars="0" w:firstLineChars="0"/>
        <w:jc w:val="left"/>
        <w:rPr>
          <w:rFonts w:hint="eastAsia" w:ascii="华文宋体" w:hAnsi="华文宋体" w:eastAsia="华文宋体" w:cs="华文宋体"/>
          <w:color w:val="auto"/>
          <w:szCs w:val="28"/>
          <w:lang w:eastAsia="zh-CN"/>
        </w:rPr>
      </w:pPr>
      <w:r>
        <w:rPr>
          <w:rFonts w:hint="eastAsia" w:ascii="华文宋体" w:hAnsi="华文宋体" w:eastAsia="华文宋体" w:cs="华文宋体"/>
          <w:color w:val="auto"/>
          <w:szCs w:val="28"/>
          <w:lang w:eastAsia="zh-CN"/>
        </w:rPr>
        <w:t>（二）服务清单</w:t>
      </w:r>
    </w:p>
    <w:tbl>
      <w:tblPr>
        <w:tblStyle w:val="14"/>
        <w:tblpPr w:leftFromText="180" w:rightFromText="180" w:vertAnchor="text" w:horzAnchor="page" w:tblpX="743" w:tblpY="69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672"/>
        <w:gridCol w:w="1103"/>
        <w:gridCol w:w="5729"/>
      </w:tblGrid>
      <w:tr w14:paraId="04CD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7"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78367B5">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工作类型</w:t>
            </w:r>
          </w:p>
        </w:tc>
        <w:tc>
          <w:tcPr>
            <w:tcW w:w="394"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280BA37">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服务模块</w:t>
            </w:r>
          </w:p>
        </w:tc>
        <w:tc>
          <w:tcPr>
            <w:tcW w:w="647"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0E44F53">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服务项</w:t>
            </w:r>
          </w:p>
        </w:tc>
        <w:tc>
          <w:tcPr>
            <w:tcW w:w="3360"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0055FC83">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服务内容</w:t>
            </w:r>
          </w:p>
        </w:tc>
      </w:tr>
      <w:tr w14:paraId="7F5F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8" w:hRule="atLeast"/>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80B6A">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基础类工作</w:t>
            </w:r>
          </w:p>
        </w:tc>
        <w:tc>
          <w:tcPr>
            <w:tcW w:w="394" w:type="pct"/>
            <w:vMerge w:val="restart"/>
            <w:tcBorders>
              <w:top w:val="single" w:color="000000" w:sz="4" w:space="0"/>
              <w:left w:val="single" w:color="000000" w:sz="4" w:space="0"/>
              <w:bottom w:val="nil"/>
              <w:right w:val="single" w:color="000000" w:sz="4" w:space="0"/>
            </w:tcBorders>
            <w:shd w:val="clear" w:color="auto" w:fill="auto"/>
            <w:vAlign w:val="center"/>
          </w:tcPr>
          <w:p w14:paraId="143187FC">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日常运行维护费</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5865">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水务集团及下属单位数据监管端功能运维</w:t>
            </w: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7E49">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按需配置“天津用水报装管理系统”监管端中的“水务集团”用户角色并对专属权限进行修改，按需优化多维度条件查询，支持按时间、区域、业务类型、状态筛选等，优化 Excel 格式标准化导出功能；按营商环境考核要求及统计需求新增查询维度或优化导出模板。</w:t>
            </w:r>
          </w:p>
        </w:tc>
      </w:tr>
      <w:tr w14:paraId="2B3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70E3">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p>
        </w:tc>
        <w:tc>
          <w:tcPr>
            <w:tcW w:w="394" w:type="pct"/>
            <w:vMerge w:val="continue"/>
            <w:tcBorders>
              <w:top w:val="single" w:color="000000" w:sz="4" w:space="0"/>
              <w:left w:val="single" w:color="000000" w:sz="4" w:space="0"/>
              <w:bottom w:val="nil"/>
              <w:right w:val="single" w:color="000000" w:sz="4" w:space="0"/>
            </w:tcBorders>
            <w:shd w:val="clear" w:color="auto" w:fill="auto"/>
            <w:vAlign w:val="center"/>
          </w:tcPr>
          <w:p w14:paraId="2836C5EC">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CB6F">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水务集团与用水报装业务系统数据接口运维</w:t>
            </w: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4212">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故障报修数据接口运维，确保津心办APP/小程序、“天津用水报装管理系统”故障报修数据自动抓取同步至集团系统；结果回传模块运维，确保数据实时回传与用户端展示正常；保障外部集成接口连接状态正常、数据传输成功率正常；及时优化同步效率、修复漏洞，迭代反馈流程与展示效果。</w:t>
            </w:r>
          </w:p>
        </w:tc>
      </w:tr>
      <w:tr w14:paraId="00A4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2B6F">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72D4C">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D5B8">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日常巡检</w:t>
            </w: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70A1">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每日巡检服务器状态与核心功能，全面监控服务器（CPU、内存、磁盘）、网络（带宽、延迟、链路）、应用系统（响应时间、请求成功率、错误日志）。每周巡检数据同步及安全漏洞。每月巡检性能优化、存储健康度及备份恢复。验证前台功能、后台数据完整性、外部系统对接及设备告警情况；确保服务器、数据库、网络节点的正常运行。</w:t>
            </w:r>
          </w:p>
        </w:tc>
      </w:tr>
      <w:tr w14:paraId="68A2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97" w:type="pct"/>
            <w:vMerge w:val="restart"/>
            <w:tcBorders>
              <w:top w:val="single" w:color="000000" w:sz="4" w:space="0"/>
              <w:left w:val="single" w:color="000000" w:sz="4" w:space="0"/>
              <w:right w:val="single" w:color="000000" w:sz="4" w:space="0"/>
            </w:tcBorders>
            <w:shd w:val="clear" w:color="auto" w:fill="auto"/>
            <w:vAlign w:val="center"/>
          </w:tcPr>
          <w:p w14:paraId="68591F8D">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绩效类工作（据实结算）</w:t>
            </w:r>
          </w:p>
        </w:tc>
        <w:tc>
          <w:tcPr>
            <w:tcW w:w="394" w:type="pct"/>
            <w:vMerge w:val="restart"/>
            <w:tcBorders>
              <w:top w:val="single" w:color="000000" w:sz="4" w:space="0"/>
              <w:left w:val="single" w:color="000000" w:sz="4" w:space="0"/>
              <w:right w:val="single" w:color="000000" w:sz="4" w:space="0"/>
            </w:tcBorders>
            <w:shd w:val="clear" w:color="auto" w:fill="auto"/>
            <w:vAlign w:val="center"/>
          </w:tcPr>
          <w:p w14:paraId="3F29BDA9">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0"/>
                <w:sz w:val="24"/>
                <w:szCs w:val="24"/>
                <w:u w:val="none"/>
                <w:lang w:val="en-US" w:eastAsia="zh-CN" w:bidi="ar"/>
              </w:rPr>
              <w:t>应急维护费</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1108">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0"/>
                <w:sz w:val="24"/>
                <w:szCs w:val="24"/>
                <w:u w:val="none"/>
                <w:lang w:val="en-US" w:eastAsia="zh-CN" w:bidi="ar"/>
              </w:rPr>
              <w:t>技术咨询服务</w:t>
            </w: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6B61">
            <w:pPr>
              <w:keepNext w:val="0"/>
              <w:keepLines w:val="0"/>
              <w:widowControl/>
              <w:suppressLineNumbers w:val="0"/>
              <w:jc w:val="left"/>
              <w:textAlignment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0"/>
                <w:sz w:val="24"/>
                <w:szCs w:val="24"/>
                <w:u w:val="none"/>
                <w:lang w:val="en-US" w:eastAsia="zh-CN" w:bidi="ar"/>
              </w:rPr>
              <w:t>日常技术咨询与运行报告生成服务成本，确保服务响应效率与功能适配性满足集团长期业务需求。全年7×12小时技术咨询，每季度生成系统运行报告。</w:t>
            </w:r>
          </w:p>
        </w:tc>
      </w:tr>
      <w:tr w14:paraId="64DD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97" w:type="pct"/>
            <w:vMerge w:val="continue"/>
            <w:tcBorders>
              <w:left w:val="single" w:color="000000" w:sz="4" w:space="0"/>
              <w:right w:val="single" w:color="000000" w:sz="4" w:space="0"/>
            </w:tcBorders>
            <w:shd w:val="clear" w:color="auto" w:fill="auto"/>
            <w:vAlign w:val="center"/>
          </w:tcPr>
          <w:p w14:paraId="5A249B50">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p>
        </w:tc>
        <w:tc>
          <w:tcPr>
            <w:tcW w:w="394" w:type="pct"/>
            <w:vMerge w:val="continue"/>
            <w:tcBorders>
              <w:left w:val="single" w:color="000000" w:sz="4" w:space="0"/>
              <w:bottom w:val="single" w:color="000000" w:sz="4" w:space="0"/>
              <w:right w:val="single" w:color="000000" w:sz="4" w:space="0"/>
            </w:tcBorders>
            <w:shd w:val="clear" w:color="auto" w:fill="auto"/>
            <w:vAlign w:val="center"/>
          </w:tcPr>
          <w:p w14:paraId="736382ED">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ADAB">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0"/>
                <w:sz w:val="24"/>
                <w:szCs w:val="24"/>
                <w:u w:val="none"/>
                <w:lang w:val="en-US" w:eastAsia="zh-CN" w:bidi="ar"/>
              </w:rPr>
              <w:t>故障排障服务</w:t>
            </w: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E25B">
            <w:pPr>
              <w:keepNext w:val="0"/>
              <w:keepLines w:val="0"/>
              <w:widowControl/>
              <w:suppressLineNumbers w:val="0"/>
              <w:jc w:val="left"/>
              <w:textAlignment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0"/>
                <w:sz w:val="24"/>
                <w:szCs w:val="24"/>
                <w:u w:val="none"/>
                <w:lang w:val="en-US" w:eastAsia="zh-CN" w:bidi="ar"/>
              </w:rPr>
              <w:t>按影响范围与严重程度分级处理，一级故障（系统宕机、报装失效）15分钟响应、2小时恢复；二级故障（查询卡顿、数据延迟）30分钟响应、4小时恢复；三级故障（界面异常、非核心按钮失效）1小时响应、8小时恢复。通过日志分析定位故障，形成含现象、原因、方案及预防措施的报告，避免重复故障；</w:t>
            </w:r>
          </w:p>
        </w:tc>
      </w:tr>
      <w:tr w14:paraId="25E7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97" w:type="pct"/>
            <w:vMerge w:val="continue"/>
            <w:tcBorders>
              <w:left w:val="single" w:color="000000" w:sz="4" w:space="0"/>
              <w:bottom w:val="single" w:color="000000" w:sz="4" w:space="0"/>
              <w:right w:val="single" w:color="000000" w:sz="4" w:space="0"/>
            </w:tcBorders>
            <w:shd w:val="clear" w:color="auto" w:fill="auto"/>
            <w:vAlign w:val="center"/>
          </w:tcPr>
          <w:p w14:paraId="082A8DA6">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华文宋体" w:hAnsi="华文宋体" w:eastAsia="华文宋体" w:cs="华文宋体"/>
                <w:i w:val="0"/>
                <w:iCs w:val="0"/>
                <w:color w:val="000000"/>
                <w:sz w:val="24"/>
                <w:szCs w:val="24"/>
                <w:u w:val="none"/>
              </w:rPr>
            </w:pP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5B92">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新增需求与功能迭代</w:t>
            </w: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4569">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含上级政策适配优化。每年提供不超过3次新增数据接口优化、2次功能迭代调整</w:t>
            </w:r>
          </w:p>
        </w:tc>
      </w:tr>
    </w:tbl>
    <w:p w14:paraId="2CB3C859">
      <w:pPr>
        <w:pStyle w:val="21"/>
        <w:widowControl/>
        <w:numPr>
          <w:ilvl w:val="0"/>
          <w:numId w:val="0"/>
        </w:numPr>
        <w:spacing w:before="100" w:beforeAutospacing="1" w:after="100" w:afterAutospacing="1" w:line="480" w:lineRule="exact"/>
        <w:contextualSpacing/>
        <w:jc w:val="left"/>
        <w:rPr>
          <w:rFonts w:hint="eastAsia" w:ascii="华文宋体" w:hAnsi="华文宋体" w:eastAsia="华文宋体" w:cs="华文宋体"/>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altName w:val="方正仿宋_GB18030"/>
    <w:panose1 w:val="02010609030101010101"/>
    <w:charset w:val="86"/>
    <w:family w:val="auto"/>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等线">
    <w:altName w:val="Noto Sans CJK SC"/>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EF933"/>
    <w:multiLevelType w:val="multilevel"/>
    <w:tmpl w:val="8D9EF933"/>
    <w:lvl w:ilvl="0" w:tentative="0">
      <w:start w:val="1"/>
      <w:numFmt w:val="decimal"/>
      <w:lvlText w:val="%1."/>
      <w:lvlJc w:val="left"/>
      <w:pPr>
        <w:ind w:left="845" w:hanging="420"/>
      </w:pPr>
      <w:rPr>
        <w:rFonts w:hint="eastAsia"/>
        <w:spacing w:val="-20"/>
        <w:position w:val="0"/>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CC9B18D5"/>
    <w:multiLevelType w:val="singleLevel"/>
    <w:tmpl w:val="CC9B18D5"/>
    <w:lvl w:ilvl="0" w:tentative="0">
      <w:start w:val="1"/>
      <w:numFmt w:val="decimal"/>
      <w:suff w:val="nothing"/>
      <w:lvlText w:val="（%1）"/>
      <w:lvlJc w:val="left"/>
    </w:lvl>
  </w:abstractNum>
  <w:abstractNum w:abstractNumId="2">
    <w:nsid w:val="D84999B9"/>
    <w:multiLevelType w:val="singleLevel"/>
    <w:tmpl w:val="D84999B9"/>
    <w:lvl w:ilvl="0" w:tentative="0">
      <w:start w:val="1"/>
      <w:numFmt w:val="decimal"/>
      <w:lvlText w:val="(%1)"/>
      <w:lvlJc w:val="left"/>
      <w:pPr>
        <w:ind w:left="425" w:hanging="425"/>
      </w:pPr>
      <w:rPr>
        <w:rFonts w:hint="default"/>
      </w:rPr>
    </w:lvl>
  </w:abstractNum>
  <w:abstractNum w:abstractNumId="3">
    <w:nsid w:val="074F0ED9"/>
    <w:multiLevelType w:val="multilevel"/>
    <w:tmpl w:val="074F0ED9"/>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EA2DBFD"/>
    <w:multiLevelType w:val="singleLevel"/>
    <w:tmpl w:val="0EA2DBFD"/>
    <w:lvl w:ilvl="0" w:tentative="0">
      <w:start w:val="1"/>
      <w:numFmt w:val="decimal"/>
      <w:lvlText w:val="%1."/>
      <w:lvlJc w:val="left"/>
      <w:pPr>
        <w:ind w:left="425" w:hanging="425"/>
      </w:pPr>
      <w:rPr>
        <w:rFonts w:hint="default"/>
      </w:rPr>
    </w:lvl>
  </w:abstractNum>
  <w:abstractNum w:abstractNumId="5">
    <w:nsid w:val="1B662B10"/>
    <w:multiLevelType w:val="singleLevel"/>
    <w:tmpl w:val="1B662B10"/>
    <w:lvl w:ilvl="0" w:tentative="0">
      <w:start w:val="1"/>
      <w:numFmt w:val="decimal"/>
      <w:lvlText w:val="%1."/>
      <w:lvlJc w:val="left"/>
      <w:pPr>
        <w:ind w:left="425" w:hanging="425"/>
      </w:pPr>
      <w:rPr>
        <w:rFonts w:hint="default"/>
      </w:rPr>
    </w:lvl>
  </w:abstractNum>
  <w:abstractNum w:abstractNumId="6">
    <w:nsid w:val="4B2F1117"/>
    <w:multiLevelType w:val="multilevel"/>
    <w:tmpl w:val="4B2F1117"/>
    <w:lvl w:ilvl="0" w:tentative="0">
      <w:start w:val="1"/>
      <w:numFmt w:val="decimal"/>
      <w:lvlText w:val="%1."/>
      <w:lvlJc w:val="left"/>
      <w:pPr>
        <w:ind w:left="845" w:hanging="420"/>
      </w:pPr>
      <w:rPr>
        <w:rFonts w:hint="eastAsia" w:ascii="宋体" w:hAnsi="宋体" w:eastAsia="宋体" w:cs="宋体"/>
        <w:spacing w:val="-20"/>
      </w:rPr>
    </w:lvl>
    <w:lvl w:ilvl="1" w:tentative="0">
      <w:start w:val="1"/>
      <w:numFmt w:val="lowerLetter"/>
      <w:lvlText w:val="%2)"/>
      <w:lvlJc w:val="left"/>
      <w:pPr>
        <w:ind w:left="1265" w:hanging="420"/>
      </w:pPr>
      <w:rPr>
        <w:rFonts w:hint="default" w:ascii="Times New Roman" w:hAnsi="Times New Roman" w:cs="Times New Roman"/>
      </w:rPr>
    </w:lvl>
    <w:lvl w:ilvl="2" w:tentative="0">
      <w:start w:val="1"/>
      <w:numFmt w:val="lowerRoman"/>
      <w:lvlText w:val="%3."/>
      <w:lvlJc w:val="right"/>
      <w:pPr>
        <w:ind w:left="1685" w:hanging="420"/>
      </w:pPr>
      <w:rPr>
        <w:rFonts w:hint="default" w:ascii="Times New Roman" w:hAnsi="Times New Roman" w:cs="Times New Roman"/>
      </w:rPr>
    </w:lvl>
    <w:lvl w:ilvl="3" w:tentative="0">
      <w:start w:val="1"/>
      <w:numFmt w:val="decimal"/>
      <w:lvlText w:val="%4."/>
      <w:lvlJc w:val="left"/>
      <w:pPr>
        <w:ind w:left="2105" w:hanging="420"/>
      </w:pPr>
      <w:rPr>
        <w:rFonts w:hint="default" w:ascii="Times New Roman" w:hAnsi="Times New Roman" w:cs="Times New Roman"/>
      </w:rPr>
    </w:lvl>
    <w:lvl w:ilvl="4" w:tentative="0">
      <w:start w:val="1"/>
      <w:numFmt w:val="lowerLetter"/>
      <w:lvlText w:val="%5)"/>
      <w:lvlJc w:val="left"/>
      <w:pPr>
        <w:ind w:left="2525" w:hanging="420"/>
      </w:pPr>
      <w:rPr>
        <w:rFonts w:hint="default" w:ascii="Times New Roman" w:hAnsi="Times New Roman" w:cs="Times New Roman"/>
      </w:rPr>
    </w:lvl>
    <w:lvl w:ilvl="5" w:tentative="0">
      <w:start w:val="1"/>
      <w:numFmt w:val="lowerRoman"/>
      <w:lvlText w:val="%6."/>
      <w:lvlJc w:val="right"/>
      <w:pPr>
        <w:ind w:left="2945" w:hanging="420"/>
      </w:pPr>
      <w:rPr>
        <w:rFonts w:hint="default" w:ascii="Times New Roman" w:hAnsi="Times New Roman" w:cs="Times New Roman"/>
      </w:rPr>
    </w:lvl>
    <w:lvl w:ilvl="6" w:tentative="0">
      <w:start w:val="1"/>
      <w:numFmt w:val="decimal"/>
      <w:lvlText w:val="%7."/>
      <w:lvlJc w:val="left"/>
      <w:pPr>
        <w:ind w:left="3365" w:hanging="420"/>
      </w:pPr>
      <w:rPr>
        <w:rFonts w:hint="default" w:ascii="Times New Roman" w:hAnsi="Times New Roman" w:cs="Times New Roman"/>
      </w:rPr>
    </w:lvl>
    <w:lvl w:ilvl="7" w:tentative="0">
      <w:start w:val="1"/>
      <w:numFmt w:val="lowerLetter"/>
      <w:lvlText w:val="%8)"/>
      <w:lvlJc w:val="left"/>
      <w:pPr>
        <w:ind w:left="3785" w:hanging="420"/>
      </w:pPr>
      <w:rPr>
        <w:rFonts w:hint="default" w:ascii="Times New Roman" w:hAnsi="Times New Roman" w:cs="Times New Roman"/>
      </w:rPr>
    </w:lvl>
    <w:lvl w:ilvl="8" w:tentative="0">
      <w:start w:val="1"/>
      <w:numFmt w:val="lowerRoman"/>
      <w:lvlText w:val="%9."/>
      <w:lvlJc w:val="right"/>
      <w:pPr>
        <w:ind w:left="4205" w:hanging="420"/>
      </w:pPr>
      <w:rPr>
        <w:rFonts w:hint="default" w:ascii="Times New Roman" w:hAnsi="Times New Roman" w:cs="Times New Roman"/>
      </w:rPr>
    </w:lvl>
  </w:abstractNum>
  <w:abstractNum w:abstractNumId="7">
    <w:nsid w:val="6FB45B2C"/>
    <w:multiLevelType w:val="singleLevel"/>
    <w:tmpl w:val="6FB45B2C"/>
    <w:lvl w:ilvl="0" w:tentative="0">
      <w:start w:val="1"/>
      <w:numFmt w:val="chineseCounting"/>
      <w:suff w:val="nothing"/>
      <w:lvlText w:val="%1、"/>
      <w:lvlJc w:val="left"/>
      <w:rPr>
        <w:rFonts w:hint="eastAsia"/>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3OGQzZDJmOWY1MWRhNWQzMjE1MjM5OTA0MTRmZGMifQ=="/>
  </w:docVars>
  <w:rsids>
    <w:rsidRoot w:val="00172A27"/>
    <w:rsid w:val="00000FCF"/>
    <w:rsid w:val="000040C8"/>
    <w:rsid w:val="00005FAD"/>
    <w:rsid w:val="00024F33"/>
    <w:rsid w:val="000313A3"/>
    <w:rsid w:val="000449A4"/>
    <w:rsid w:val="00051452"/>
    <w:rsid w:val="000B13B5"/>
    <w:rsid w:val="000C0A8E"/>
    <w:rsid w:val="000C6B6E"/>
    <w:rsid w:val="000D1905"/>
    <w:rsid w:val="000F75CB"/>
    <w:rsid w:val="00110089"/>
    <w:rsid w:val="0011216A"/>
    <w:rsid w:val="001405AF"/>
    <w:rsid w:val="001439A2"/>
    <w:rsid w:val="00143DDC"/>
    <w:rsid w:val="00172A27"/>
    <w:rsid w:val="00175A4B"/>
    <w:rsid w:val="00187D0A"/>
    <w:rsid w:val="00197887"/>
    <w:rsid w:val="001B760F"/>
    <w:rsid w:val="001D2057"/>
    <w:rsid w:val="001F0A89"/>
    <w:rsid w:val="002013F3"/>
    <w:rsid w:val="0020411C"/>
    <w:rsid w:val="00205297"/>
    <w:rsid w:val="00206E42"/>
    <w:rsid w:val="00210403"/>
    <w:rsid w:val="00210426"/>
    <w:rsid w:val="002216DD"/>
    <w:rsid w:val="00222A39"/>
    <w:rsid w:val="00232679"/>
    <w:rsid w:val="00235542"/>
    <w:rsid w:val="002412A6"/>
    <w:rsid w:val="002756BE"/>
    <w:rsid w:val="00294013"/>
    <w:rsid w:val="002A5CB0"/>
    <w:rsid w:val="002C3106"/>
    <w:rsid w:val="002F1593"/>
    <w:rsid w:val="002F2E38"/>
    <w:rsid w:val="00303AF7"/>
    <w:rsid w:val="00315DC0"/>
    <w:rsid w:val="00322A87"/>
    <w:rsid w:val="00323114"/>
    <w:rsid w:val="00323505"/>
    <w:rsid w:val="003329CB"/>
    <w:rsid w:val="00335B1D"/>
    <w:rsid w:val="00337305"/>
    <w:rsid w:val="003536DA"/>
    <w:rsid w:val="00370723"/>
    <w:rsid w:val="003761C2"/>
    <w:rsid w:val="003977BA"/>
    <w:rsid w:val="003A3677"/>
    <w:rsid w:val="003C37CA"/>
    <w:rsid w:val="003E3598"/>
    <w:rsid w:val="00403C18"/>
    <w:rsid w:val="00411F45"/>
    <w:rsid w:val="004452A7"/>
    <w:rsid w:val="0045170B"/>
    <w:rsid w:val="00460842"/>
    <w:rsid w:val="00465421"/>
    <w:rsid w:val="004814AF"/>
    <w:rsid w:val="004A1995"/>
    <w:rsid w:val="004A2292"/>
    <w:rsid w:val="004A7FF3"/>
    <w:rsid w:val="004B06D2"/>
    <w:rsid w:val="004B2F53"/>
    <w:rsid w:val="004B3B05"/>
    <w:rsid w:val="004B671C"/>
    <w:rsid w:val="004C5329"/>
    <w:rsid w:val="004C78D0"/>
    <w:rsid w:val="004D56CD"/>
    <w:rsid w:val="004F7996"/>
    <w:rsid w:val="005017CF"/>
    <w:rsid w:val="005026DD"/>
    <w:rsid w:val="005074A1"/>
    <w:rsid w:val="0054095B"/>
    <w:rsid w:val="00541108"/>
    <w:rsid w:val="005544C8"/>
    <w:rsid w:val="00575784"/>
    <w:rsid w:val="005D5E36"/>
    <w:rsid w:val="005D7C56"/>
    <w:rsid w:val="005F5C6A"/>
    <w:rsid w:val="00616752"/>
    <w:rsid w:val="0062637A"/>
    <w:rsid w:val="006606A9"/>
    <w:rsid w:val="006938F7"/>
    <w:rsid w:val="006E018C"/>
    <w:rsid w:val="007033F0"/>
    <w:rsid w:val="00720516"/>
    <w:rsid w:val="00722274"/>
    <w:rsid w:val="00725B51"/>
    <w:rsid w:val="00735921"/>
    <w:rsid w:val="007362D5"/>
    <w:rsid w:val="007467C7"/>
    <w:rsid w:val="00757257"/>
    <w:rsid w:val="00774907"/>
    <w:rsid w:val="00793890"/>
    <w:rsid w:val="00795A2D"/>
    <w:rsid w:val="007973EC"/>
    <w:rsid w:val="007D2D94"/>
    <w:rsid w:val="00805866"/>
    <w:rsid w:val="00816D50"/>
    <w:rsid w:val="008221CD"/>
    <w:rsid w:val="00842624"/>
    <w:rsid w:val="0084422F"/>
    <w:rsid w:val="008625C9"/>
    <w:rsid w:val="008744C2"/>
    <w:rsid w:val="00894C01"/>
    <w:rsid w:val="00895AD6"/>
    <w:rsid w:val="008A1463"/>
    <w:rsid w:val="008B0E51"/>
    <w:rsid w:val="008B1C5E"/>
    <w:rsid w:val="008B26D8"/>
    <w:rsid w:val="008E021C"/>
    <w:rsid w:val="008F53EB"/>
    <w:rsid w:val="00916F66"/>
    <w:rsid w:val="00935410"/>
    <w:rsid w:val="00954FC6"/>
    <w:rsid w:val="009619E5"/>
    <w:rsid w:val="00971476"/>
    <w:rsid w:val="009818E3"/>
    <w:rsid w:val="00984DD5"/>
    <w:rsid w:val="009A2107"/>
    <w:rsid w:val="009C038B"/>
    <w:rsid w:val="009E20AB"/>
    <w:rsid w:val="009E3DDD"/>
    <w:rsid w:val="009E6AD4"/>
    <w:rsid w:val="009F3C8B"/>
    <w:rsid w:val="00A06469"/>
    <w:rsid w:val="00A1162B"/>
    <w:rsid w:val="00A65322"/>
    <w:rsid w:val="00A75CD7"/>
    <w:rsid w:val="00AB65F3"/>
    <w:rsid w:val="00AC5E5C"/>
    <w:rsid w:val="00AC77A5"/>
    <w:rsid w:val="00AE3329"/>
    <w:rsid w:val="00B003FC"/>
    <w:rsid w:val="00B1319E"/>
    <w:rsid w:val="00B20ED6"/>
    <w:rsid w:val="00B62BFF"/>
    <w:rsid w:val="00B74E53"/>
    <w:rsid w:val="00B817AA"/>
    <w:rsid w:val="00B8211B"/>
    <w:rsid w:val="00B97122"/>
    <w:rsid w:val="00BB3407"/>
    <w:rsid w:val="00BB3758"/>
    <w:rsid w:val="00BB5B2B"/>
    <w:rsid w:val="00BC10DE"/>
    <w:rsid w:val="00BC550C"/>
    <w:rsid w:val="00BC5E46"/>
    <w:rsid w:val="00BE128B"/>
    <w:rsid w:val="00C01E00"/>
    <w:rsid w:val="00C0346E"/>
    <w:rsid w:val="00C05C8C"/>
    <w:rsid w:val="00C31CA1"/>
    <w:rsid w:val="00C53DBB"/>
    <w:rsid w:val="00C63DD8"/>
    <w:rsid w:val="00C90291"/>
    <w:rsid w:val="00CB197E"/>
    <w:rsid w:val="00CE7F04"/>
    <w:rsid w:val="00CF6D23"/>
    <w:rsid w:val="00D1198B"/>
    <w:rsid w:val="00D25930"/>
    <w:rsid w:val="00D40A65"/>
    <w:rsid w:val="00D562EF"/>
    <w:rsid w:val="00D96885"/>
    <w:rsid w:val="00DA49D7"/>
    <w:rsid w:val="00DC5CC7"/>
    <w:rsid w:val="00DE77CA"/>
    <w:rsid w:val="00E05D53"/>
    <w:rsid w:val="00E22AB4"/>
    <w:rsid w:val="00E261E8"/>
    <w:rsid w:val="00E366D7"/>
    <w:rsid w:val="00E6036B"/>
    <w:rsid w:val="00E70901"/>
    <w:rsid w:val="00E807A1"/>
    <w:rsid w:val="00E812EB"/>
    <w:rsid w:val="00E817EA"/>
    <w:rsid w:val="00E82F5B"/>
    <w:rsid w:val="00E93D3E"/>
    <w:rsid w:val="00E94751"/>
    <w:rsid w:val="00EA097B"/>
    <w:rsid w:val="00EB311A"/>
    <w:rsid w:val="00ED6899"/>
    <w:rsid w:val="00EE5AC4"/>
    <w:rsid w:val="00F100B8"/>
    <w:rsid w:val="00F12D3F"/>
    <w:rsid w:val="00F358D5"/>
    <w:rsid w:val="00F4782A"/>
    <w:rsid w:val="00F714E2"/>
    <w:rsid w:val="00F84AF1"/>
    <w:rsid w:val="00F91859"/>
    <w:rsid w:val="00F93EA7"/>
    <w:rsid w:val="00F97A19"/>
    <w:rsid w:val="00FA1B80"/>
    <w:rsid w:val="00FA4561"/>
    <w:rsid w:val="00FA4AB3"/>
    <w:rsid w:val="00FB1122"/>
    <w:rsid w:val="00FE7C0C"/>
    <w:rsid w:val="00FF0FF8"/>
    <w:rsid w:val="00FF4F01"/>
    <w:rsid w:val="00FF6248"/>
    <w:rsid w:val="013D73C1"/>
    <w:rsid w:val="01714809"/>
    <w:rsid w:val="06915638"/>
    <w:rsid w:val="069B5E85"/>
    <w:rsid w:val="07504EC1"/>
    <w:rsid w:val="08DF02AB"/>
    <w:rsid w:val="09ED6280"/>
    <w:rsid w:val="0B640F3B"/>
    <w:rsid w:val="0B925AA8"/>
    <w:rsid w:val="0BB579E9"/>
    <w:rsid w:val="0D5A25F6"/>
    <w:rsid w:val="0DDF2AFB"/>
    <w:rsid w:val="0DDF6F9F"/>
    <w:rsid w:val="0E2F4A8A"/>
    <w:rsid w:val="0E9E29B6"/>
    <w:rsid w:val="0F225395"/>
    <w:rsid w:val="1041184B"/>
    <w:rsid w:val="120C6CB9"/>
    <w:rsid w:val="12A043C1"/>
    <w:rsid w:val="12E830B9"/>
    <w:rsid w:val="138D1D96"/>
    <w:rsid w:val="147F6DE6"/>
    <w:rsid w:val="14997EA7"/>
    <w:rsid w:val="14C65DDC"/>
    <w:rsid w:val="167D7355"/>
    <w:rsid w:val="16A6065A"/>
    <w:rsid w:val="188432A4"/>
    <w:rsid w:val="1B247D7F"/>
    <w:rsid w:val="1B4F7512"/>
    <w:rsid w:val="1D70551D"/>
    <w:rsid w:val="1D9C4564"/>
    <w:rsid w:val="1E28404A"/>
    <w:rsid w:val="1E430E84"/>
    <w:rsid w:val="205E3D53"/>
    <w:rsid w:val="20D91170"/>
    <w:rsid w:val="210E7527"/>
    <w:rsid w:val="211D59BC"/>
    <w:rsid w:val="21700DF4"/>
    <w:rsid w:val="21BD5BDE"/>
    <w:rsid w:val="220B1CB9"/>
    <w:rsid w:val="228F3384"/>
    <w:rsid w:val="23167F0D"/>
    <w:rsid w:val="23E03EB2"/>
    <w:rsid w:val="24D740D4"/>
    <w:rsid w:val="252A182A"/>
    <w:rsid w:val="264D685D"/>
    <w:rsid w:val="26667E05"/>
    <w:rsid w:val="268D5392"/>
    <w:rsid w:val="27F07987"/>
    <w:rsid w:val="2A45120F"/>
    <w:rsid w:val="2A482747"/>
    <w:rsid w:val="2A76062B"/>
    <w:rsid w:val="2B457FE9"/>
    <w:rsid w:val="2DA76268"/>
    <w:rsid w:val="2F807EF9"/>
    <w:rsid w:val="30062607"/>
    <w:rsid w:val="306C426A"/>
    <w:rsid w:val="30D115E1"/>
    <w:rsid w:val="322272D6"/>
    <w:rsid w:val="32FA4EF0"/>
    <w:rsid w:val="33400D8F"/>
    <w:rsid w:val="34831921"/>
    <w:rsid w:val="355103D5"/>
    <w:rsid w:val="356E4845"/>
    <w:rsid w:val="35AE2C2F"/>
    <w:rsid w:val="365F1412"/>
    <w:rsid w:val="36C56482"/>
    <w:rsid w:val="379A790F"/>
    <w:rsid w:val="38347A67"/>
    <w:rsid w:val="39232CE9"/>
    <w:rsid w:val="39CD7B28"/>
    <w:rsid w:val="39F671C1"/>
    <w:rsid w:val="3A86417A"/>
    <w:rsid w:val="3AD849D6"/>
    <w:rsid w:val="3BFC2946"/>
    <w:rsid w:val="3C885F88"/>
    <w:rsid w:val="3DEE4511"/>
    <w:rsid w:val="3EDE6333"/>
    <w:rsid w:val="3F2C251F"/>
    <w:rsid w:val="408829FA"/>
    <w:rsid w:val="41F14A95"/>
    <w:rsid w:val="42A94EAA"/>
    <w:rsid w:val="432D7889"/>
    <w:rsid w:val="43A23DD3"/>
    <w:rsid w:val="44670B79"/>
    <w:rsid w:val="465F5FAB"/>
    <w:rsid w:val="47D14C87"/>
    <w:rsid w:val="480A63EB"/>
    <w:rsid w:val="489A776F"/>
    <w:rsid w:val="4A283F80"/>
    <w:rsid w:val="4A9621B8"/>
    <w:rsid w:val="4BE02A99"/>
    <w:rsid w:val="4C1635B0"/>
    <w:rsid w:val="4C7402D7"/>
    <w:rsid w:val="4C83676C"/>
    <w:rsid w:val="4DF55447"/>
    <w:rsid w:val="4FBD1F95"/>
    <w:rsid w:val="50CE26AB"/>
    <w:rsid w:val="50FB0FC7"/>
    <w:rsid w:val="51D57A6A"/>
    <w:rsid w:val="52293911"/>
    <w:rsid w:val="522B768A"/>
    <w:rsid w:val="52835C8B"/>
    <w:rsid w:val="54613836"/>
    <w:rsid w:val="548711BE"/>
    <w:rsid w:val="54B25E40"/>
    <w:rsid w:val="54DE09E3"/>
    <w:rsid w:val="556233C2"/>
    <w:rsid w:val="577613A7"/>
    <w:rsid w:val="57AA72A2"/>
    <w:rsid w:val="57BF2D4E"/>
    <w:rsid w:val="58262DCD"/>
    <w:rsid w:val="582D3B05"/>
    <w:rsid w:val="588B70D4"/>
    <w:rsid w:val="58C07CA1"/>
    <w:rsid w:val="59172716"/>
    <w:rsid w:val="59D32AE1"/>
    <w:rsid w:val="5B003D2B"/>
    <w:rsid w:val="5B1433B1"/>
    <w:rsid w:val="5B694D7F"/>
    <w:rsid w:val="5B975D90"/>
    <w:rsid w:val="5C757E7F"/>
    <w:rsid w:val="5CD22094"/>
    <w:rsid w:val="5D235B2D"/>
    <w:rsid w:val="5DAE005A"/>
    <w:rsid w:val="5F613AD9"/>
    <w:rsid w:val="6089214B"/>
    <w:rsid w:val="62F675F7"/>
    <w:rsid w:val="64670901"/>
    <w:rsid w:val="6480384A"/>
    <w:rsid w:val="65575B21"/>
    <w:rsid w:val="65913850"/>
    <w:rsid w:val="669730E8"/>
    <w:rsid w:val="66EE78CB"/>
    <w:rsid w:val="67332E10"/>
    <w:rsid w:val="675D1B9D"/>
    <w:rsid w:val="67FA392E"/>
    <w:rsid w:val="68024591"/>
    <w:rsid w:val="687B392E"/>
    <w:rsid w:val="68880F3A"/>
    <w:rsid w:val="689E3510"/>
    <w:rsid w:val="68A7CFF3"/>
    <w:rsid w:val="699A00C4"/>
    <w:rsid w:val="6A266402"/>
    <w:rsid w:val="6B1271E1"/>
    <w:rsid w:val="6B6D4417"/>
    <w:rsid w:val="6BB32DB7"/>
    <w:rsid w:val="6BC67FC5"/>
    <w:rsid w:val="6C9F6852"/>
    <w:rsid w:val="6D107750"/>
    <w:rsid w:val="6D54580C"/>
    <w:rsid w:val="6D547772"/>
    <w:rsid w:val="6E012760"/>
    <w:rsid w:val="73465C7A"/>
    <w:rsid w:val="734737A0"/>
    <w:rsid w:val="736B7A54"/>
    <w:rsid w:val="737F73DD"/>
    <w:rsid w:val="73F676A0"/>
    <w:rsid w:val="74B97970"/>
    <w:rsid w:val="75BE5F9B"/>
    <w:rsid w:val="762B73A9"/>
    <w:rsid w:val="763C3364"/>
    <w:rsid w:val="767825EE"/>
    <w:rsid w:val="76B80C3C"/>
    <w:rsid w:val="774C112F"/>
    <w:rsid w:val="77520682"/>
    <w:rsid w:val="77FCBD26"/>
    <w:rsid w:val="7AFFFC51"/>
    <w:rsid w:val="7B5573A2"/>
    <w:rsid w:val="7BBF158E"/>
    <w:rsid w:val="7BDD1E0F"/>
    <w:rsid w:val="7C1F175E"/>
    <w:rsid w:val="7CFFED0E"/>
    <w:rsid w:val="7EDBC8AB"/>
    <w:rsid w:val="7FDFA597"/>
    <w:rsid w:val="CDEB918D"/>
    <w:rsid w:val="DFFEE881"/>
    <w:rsid w:val="E8DAF93C"/>
    <w:rsid w:val="EEFB6456"/>
    <w:rsid w:val="FAFF9F3B"/>
    <w:rsid w:val="FCFB8110"/>
    <w:rsid w:val="FDA78B93"/>
    <w:rsid w:val="FDABA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ind w:left="420"/>
      <w:outlineLvl w:val="1"/>
    </w:pPr>
    <w:rPr>
      <w:rFonts w:ascii="Arial" w:hAnsi="Arial" w:eastAsia="仿宋_GB2312"/>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23"/>
    <w:semiHidden/>
    <w:unhideWhenUsed/>
    <w:qFormat/>
    <w:uiPriority w:val="99"/>
    <w:pPr>
      <w:spacing w:after="120"/>
    </w:pPr>
  </w:style>
  <w:style w:type="paragraph" w:styleId="6">
    <w:name w:val="Body Text Indent"/>
    <w:basedOn w:val="1"/>
    <w:unhideWhenUsed/>
    <w:qFormat/>
    <w:uiPriority w:val="0"/>
    <w:pPr>
      <w:spacing w:after="120"/>
      <w:ind w:left="420" w:leftChars="200"/>
    </w:pPr>
  </w:style>
  <w:style w:type="paragraph" w:styleId="7">
    <w:name w:val="Plain Text"/>
    <w:basedOn w:val="1"/>
    <w:autoRedefine/>
    <w:qFormat/>
    <w:uiPriority w:val="0"/>
    <w:rPr>
      <w:rFonts w:ascii="宋体" w:hAnsi="Courier New" w:cs="Courier New"/>
      <w:szCs w:val="21"/>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contextualSpacing/>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next w:val="13"/>
    <w:qFormat/>
    <w:uiPriority w:val="0"/>
    <w:pPr>
      <w:ind w:left="0" w:leftChars="0" w:firstLine="420"/>
    </w:pPr>
    <w:rPr>
      <w:rFonts w:ascii="Times New Roman" w:hAnsi="Times New Roman"/>
      <w:szCs w:val="24"/>
    </w:rPr>
  </w:style>
  <w:style w:type="paragraph" w:customStyle="1" w:styleId="13">
    <w:name w:val="表格文字"/>
    <w:basedOn w:val="10"/>
    <w:next w:val="1"/>
    <w:qFormat/>
    <w:uiPriority w:val="0"/>
    <w:pPr>
      <w:ind w:firstLine="0" w:firstLineChars="0"/>
      <w:jc w:val="center"/>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paragraph" w:styleId="21">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22">
    <w:name w:val="未处理的提及1"/>
    <w:basedOn w:val="16"/>
    <w:semiHidden/>
    <w:unhideWhenUsed/>
    <w:qFormat/>
    <w:uiPriority w:val="99"/>
    <w:rPr>
      <w:color w:val="605E5C"/>
      <w:shd w:val="clear" w:color="auto" w:fill="E1DFDD"/>
    </w:rPr>
  </w:style>
  <w:style w:type="character" w:customStyle="1" w:styleId="23">
    <w:name w:val="正文文本 Char"/>
    <w:basedOn w:val="16"/>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1253</Words>
  <Characters>1402</Characters>
  <Lines>17</Lines>
  <Paragraphs>4</Paragraphs>
  <TotalTime>2</TotalTime>
  <ScaleCrop>false</ScaleCrop>
  <LinksUpToDate>false</LinksUpToDate>
  <CharactersWithSpaces>1406</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2021-03-13T09:18:00Z</dcterms:created>
  <dc:creator>L YY</dc:creator>
  <cp:lastModifiedBy>邵蔚</cp:lastModifiedBy>
  <cp:lastPrinted>2024-01-12T16:29:00Z</cp:lastPrinted>
  <dcterms:modified xsi:type="dcterms:W3CDTF">2026-05-21T16:38:52Z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64DBA0C2E24E5D447E8A8A69267DDF55_43</vt:lpwstr>
  </property>
  <property fmtid="{D5CDD505-2E9C-101B-9397-08002B2CF9AE}" pid="4" name="KSOTemplateDocerSaveRecord">
    <vt:lpwstr>eyJoZGlkIjoiMzc3OGQzZDJmOWY1MWRhNWQzMjE1MjM5OTA0MTRmZGMiLCJ1c2VySWQiOiIxNjI2MTI0NjA1In0=</vt:lpwstr>
  </property>
</Properties>
</file>