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EFF12">
      <w:pPr>
        <w:jc w:val="center"/>
        <w:rPr>
          <w:rFonts w:hint="default" w:ascii="微软雅黑" w:hAnsi="微软雅黑" w:eastAsia="微软雅黑"/>
          <w:color w:val="auto"/>
          <w:sz w:val="32"/>
          <w:szCs w:val="32"/>
          <w:highlight w:val="none"/>
          <w:lang w:val="en-US" w:eastAsia="zh-CN"/>
        </w:rPr>
      </w:pPr>
      <w:bookmarkStart w:id="2" w:name="_GoBack"/>
      <w:r>
        <w:rPr>
          <w:rStyle w:val="17"/>
          <w:rFonts w:hint="eastAsia" w:ascii="微软雅黑" w:hAnsi="微软雅黑" w:eastAsia="微软雅黑"/>
          <w:color w:val="auto"/>
          <w:sz w:val="32"/>
          <w:szCs w:val="32"/>
          <w:highlight w:val="none"/>
          <w:lang w:eastAsia="zh-CN"/>
        </w:rPr>
        <w:t>水力模型系统维护</w:t>
      </w:r>
      <w:r>
        <w:rPr>
          <w:rStyle w:val="17"/>
          <w:rFonts w:hint="eastAsia" w:ascii="微软雅黑" w:hAnsi="微软雅黑" w:eastAsia="微软雅黑"/>
          <w:color w:val="auto"/>
          <w:sz w:val="32"/>
          <w:szCs w:val="32"/>
          <w:highlight w:val="none"/>
          <w:lang w:val="en-US" w:eastAsia="zh-CN"/>
        </w:rPr>
        <w:t>邀请函</w:t>
      </w:r>
    </w:p>
    <w:p w14:paraId="22FAED32">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项目需求：</w:t>
      </w:r>
      <w:bookmarkStart w:id="0" w:name="_Hlk155278035"/>
    </w:p>
    <w:p w14:paraId="65DCD943">
      <w:pPr>
        <w:pStyle w:val="21"/>
        <w:numPr>
          <w:ilvl w:val="0"/>
          <w:numId w:val="0"/>
        </w:numPr>
        <w:spacing w:line="480" w:lineRule="exact"/>
        <w:ind w:firstLine="480" w:firstLineChars="200"/>
        <w:contextualSpacing/>
        <w:rPr>
          <w:rFonts w:hint="eastAsia"/>
          <w:color w:val="auto"/>
          <w:highlight w:val="none"/>
          <w:lang w:val="en-US" w:eastAsia="zh-CN"/>
        </w:rPr>
      </w:pPr>
      <w:r>
        <w:rPr>
          <w:rFonts w:hint="eastAsia"/>
          <w:color w:val="auto"/>
          <w:highlight w:val="none"/>
        </w:rPr>
        <w:t>（</w:t>
      </w:r>
      <w:r>
        <w:rPr>
          <w:rFonts w:hint="eastAsia"/>
          <w:color w:val="auto"/>
          <w:highlight w:val="none"/>
          <w:lang w:eastAsia="zh-CN"/>
        </w:rPr>
        <w:t>SW-ZB-F-2026-0028</w:t>
      </w:r>
      <w:r>
        <w:rPr>
          <w:rFonts w:hint="eastAsia"/>
          <w:color w:val="auto"/>
          <w:highlight w:val="none"/>
        </w:rPr>
        <w:t>）</w:t>
      </w:r>
      <w:bookmarkEnd w:id="0"/>
      <w:r>
        <w:rPr>
          <w:rFonts w:hint="eastAsia"/>
          <w:color w:val="auto"/>
          <w:highlight w:val="none"/>
          <w:lang w:eastAsia="zh-CN"/>
        </w:rPr>
        <w:t>水力模型系统维护：</w:t>
      </w:r>
      <w:r>
        <w:rPr>
          <w:rFonts w:hint="eastAsia"/>
          <w:color w:val="auto"/>
          <w:highlight w:val="none"/>
          <w:lang w:val="en-US" w:eastAsia="zh-CN"/>
        </w:rPr>
        <w:t>对集团公司水力模型系统维护（具体详见项目需求书）。</w:t>
      </w:r>
    </w:p>
    <w:p w14:paraId="0C70B497">
      <w:pPr>
        <w:pStyle w:val="21"/>
        <w:numPr>
          <w:ilvl w:val="0"/>
          <w:numId w:val="1"/>
        </w:numPr>
        <w:spacing w:after="0" w:afterAutospacing="0" w:line="480" w:lineRule="exact"/>
        <w:ind w:left="0" w:firstLine="424" w:firstLineChars="177"/>
        <w:contextualSpacing/>
        <w:rPr>
          <w:color w:val="auto"/>
          <w:highlight w:val="none"/>
        </w:rPr>
      </w:pPr>
      <w:r>
        <w:rPr>
          <w:rFonts w:hint="eastAsia"/>
          <w:color w:val="auto"/>
          <w:highlight w:val="none"/>
        </w:rPr>
        <w:t>资格要求：</w:t>
      </w:r>
    </w:p>
    <w:p w14:paraId="47159735">
      <w:pPr>
        <w:pStyle w:val="11"/>
        <w:numPr>
          <w:ilvl w:val="0"/>
          <w:numId w:val="2"/>
        </w:numPr>
        <w:spacing w:before="0" w:beforeAutospacing="0" w:after="0" w:line="480" w:lineRule="exact"/>
        <w:contextualSpacing/>
        <w:rPr>
          <w:color w:val="auto"/>
          <w:highlight w:val="none"/>
        </w:rPr>
      </w:pPr>
      <w:bookmarkStart w:id="1" w:name="_Hlk155278269"/>
      <w:r>
        <w:rPr>
          <w:rFonts w:hint="eastAsia"/>
          <w:color w:val="auto"/>
          <w:highlight w:val="none"/>
          <w:lang w:bidi="ar"/>
        </w:rPr>
        <w:t>具有营业执照副本或事业单位法人证书或民办非企业单位登记证书或社会团体法人登记证书或基金会法人登记证书，并在有效期内；</w:t>
      </w:r>
    </w:p>
    <w:p w14:paraId="6E9CF2FE">
      <w:pPr>
        <w:pStyle w:val="11"/>
        <w:numPr>
          <w:ilvl w:val="0"/>
          <w:numId w:val="2"/>
        </w:numPr>
        <w:spacing w:before="0" w:after="0" w:line="480" w:lineRule="exact"/>
        <w:contextualSpacing/>
        <w:rPr>
          <w:rFonts w:hint="eastAsia"/>
          <w:color w:val="auto"/>
          <w:highlight w:val="none"/>
          <w:lang w:bidi="ar"/>
        </w:rPr>
      </w:pPr>
      <w:r>
        <w:rPr>
          <w:rFonts w:hint="eastAsia"/>
          <w:color w:val="auto"/>
          <w:highlight w:val="none"/>
          <w:lang w:bidi="ar"/>
        </w:rPr>
        <w:t>在“信用中国”网站(https://www.creditchina.gov.cn/)查询严重失信主体名单，未被列入名单并将查询结果截图加盖单位公章，见附图；</w:t>
      </w:r>
    </w:p>
    <w:p w14:paraId="4A7D62AA">
      <w:pPr>
        <w:pStyle w:val="11"/>
        <w:numPr>
          <w:ilvl w:val="0"/>
          <w:numId w:val="2"/>
        </w:numPr>
        <w:spacing w:before="0" w:after="0" w:line="480" w:lineRule="exact"/>
        <w:contextualSpacing/>
        <w:rPr>
          <w:rFonts w:hint="eastAsia"/>
          <w:color w:val="auto"/>
          <w:highlight w:val="none"/>
          <w:lang w:bidi="ar"/>
        </w:rPr>
      </w:pPr>
      <w:r>
        <w:rPr>
          <w:rFonts w:hint="eastAsia"/>
          <w:color w:val="auto"/>
          <w:highlight w:val="none"/>
          <w:lang w:bidi="ar"/>
        </w:rPr>
        <w:t>仅限水务集团合格供应商库范围内（“津水云采”平台注册审核通过并购买且激活CA证书的供应商）；</w:t>
      </w:r>
    </w:p>
    <w:p w14:paraId="02E46D8C">
      <w:pPr>
        <w:pStyle w:val="11"/>
        <w:numPr>
          <w:ilvl w:val="0"/>
          <w:numId w:val="2"/>
        </w:numPr>
        <w:spacing w:before="0" w:after="0" w:afterAutospacing="0" w:line="480" w:lineRule="exact"/>
        <w:contextualSpacing/>
        <w:rPr>
          <w:rFonts w:hint="eastAsia"/>
          <w:color w:val="auto"/>
          <w:highlight w:val="none"/>
          <w:lang w:bidi="ar"/>
        </w:rPr>
      </w:pPr>
      <w:r>
        <w:rPr>
          <w:rFonts w:hint="eastAsia"/>
          <w:color w:val="auto"/>
          <w:highlight w:val="none"/>
          <w:lang w:bidi="ar"/>
        </w:rPr>
        <w:t>本项目不允许联合体参与。</w:t>
      </w:r>
    </w:p>
    <w:bookmarkEnd w:id="1"/>
    <w:p w14:paraId="6E5B45A1">
      <w:pPr>
        <w:pStyle w:val="21"/>
        <w:numPr>
          <w:ilvl w:val="0"/>
          <w:numId w:val="1"/>
        </w:numPr>
        <w:spacing w:before="0" w:beforeAutospacing="0" w:line="480" w:lineRule="exact"/>
        <w:ind w:left="0" w:firstLine="424" w:firstLineChars="177"/>
        <w:contextualSpacing/>
        <w:rPr>
          <w:color w:val="auto"/>
          <w:highlight w:val="none"/>
        </w:rPr>
      </w:pPr>
      <w:r>
        <w:rPr>
          <w:rFonts w:hint="eastAsia"/>
          <w:color w:val="auto"/>
          <w:highlight w:val="none"/>
          <w:lang w:val="en-US" w:eastAsia="zh-CN"/>
        </w:rPr>
        <w:t>服务期限</w:t>
      </w:r>
      <w:r>
        <w:rPr>
          <w:rFonts w:hint="eastAsia"/>
          <w:color w:val="auto"/>
          <w:highlight w:val="none"/>
        </w:rPr>
        <w:t>：</w:t>
      </w:r>
      <w:r>
        <w:rPr>
          <w:rFonts w:hint="eastAsia"/>
          <w:color w:val="auto"/>
          <w:highlight w:val="none"/>
          <w:lang w:val="en-US" w:eastAsia="zh-CN"/>
        </w:rPr>
        <w:t>自合同签订之日起至</w:t>
      </w:r>
      <w:r>
        <w:rPr>
          <w:rFonts w:hint="eastAsia"/>
          <w:color w:val="auto"/>
          <w:highlight w:val="none"/>
          <w:lang w:val="en-US" w:eastAsia="zh-CN"/>
        </w:rPr>
        <w:t>2027至6月31日</w:t>
      </w:r>
      <w:r>
        <w:rPr>
          <w:color w:val="auto"/>
          <w:highlight w:val="none"/>
        </w:rPr>
        <w:t>。</w:t>
      </w:r>
    </w:p>
    <w:p w14:paraId="20681F0F">
      <w:pPr>
        <w:pStyle w:val="21"/>
        <w:numPr>
          <w:ilvl w:val="0"/>
          <w:numId w:val="1"/>
        </w:numPr>
        <w:spacing w:line="480" w:lineRule="exact"/>
        <w:ind w:left="0" w:firstLine="424" w:firstLineChars="177"/>
        <w:contextualSpacing/>
        <w:rPr>
          <w:rFonts w:hint="default"/>
          <w:color w:val="auto"/>
          <w:highlight w:val="none"/>
          <w:lang w:val="en-US" w:bidi="ar"/>
        </w:rPr>
      </w:pPr>
      <w:r>
        <w:rPr>
          <w:rFonts w:hint="eastAsia"/>
          <w:color w:val="auto"/>
          <w:highlight w:val="none"/>
        </w:rPr>
        <w:t>项目控标价：</w:t>
      </w:r>
      <w:r>
        <w:rPr>
          <w:rFonts w:hint="eastAsia"/>
          <w:color w:val="auto"/>
          <w:highlight w:val="none"/>
          <w:lang w:val="en-US" w:eastAsia="zh-CN"/>
        </w:rPr>
        <w:t>总报价</w:t>
      </w:r>
      <w:r>
        <w:rPr>
          <w:rFonts w:hint="eastAsia"/>
          <w:b/>
          <w:bCs/>
          <w:color w:val="auto"/>
          <w:highlight w:val="none"/>
          <w:lang w:val="en-US" w:eastAsia="zh-CN"/>
        </w:rPr>
        <w:t>24</w:t>
      </w:r>
      <w:r>
        <w:rPr>
          <w:rFonts w:hint="eastAsia" w:cs="仿宋"/>
          <w:b/>
          <w:bCs/>
          <w:color w:val="auto"/>
          <w:sz w:val="24"/>
          <w:highlight w:val="none"/>
          <w:lang w:val="en-US" w:eastAsia="zh-CN"/>
        </w:rPr>
        <w:t>万</w:t>
      </w:r>
      <w:r>
        <w:rPr>
          <w:rFonts w:hint="eastAsia" w:cs="仿宋"/>
          <w:b/>
          <w:bCs/>
          <w:color w:val="auto"/>
          <w:sz w:val="24"/>
          <w:highlight w:val="none"/>
          <w:lang w:val="en-US" w:eastAsia="zh-CN"/>
        </w:rPr>
        <w:t>元</w:t>
      </w:r>
      <w:r>
        <w:rPr>
          <w:rFonts w:hint="eastAsia" w:cs="仿宋"/>
          <w:b/>
          <w:bCs/>
          <w:color w:val="auto"/>
          <w:sz w:val="24"/>
          <w:highlight w:val="none"/>
          <w:lang w:val="en-US" w:eastAsia="zh-CN"/>
        </w:rPr>
        <w:t>。</w:t>
      </w:r>
    </w:p>
    <w:p w14:paraId="4546BB06">
      <w:pPr>
        <w:pStyle w:val="21"/>
        <w:numPr>
          <w:ilvl w:val="0"/>
          <w:numId w:val="1"/>
        </w:numPr>
        <w:spacing w:line="480" w:lineRule="exact"/>
        <w:ind w:left="0" w:firstLine="424" w:firstLineChars="177"/>
        <w:contextualSpacing/>
        <w:rPr>
          <w:rFonts w:hint="eastAsia"/>
          <w:color w:val="auto"/>
          <w:highlight w:val="none"/>
          <w:lang w:bidi="ar"/>
        </w:rPr>
      </w:pPr>
      <w:r>
        <w:rPr>
          <w:rFonts w:hint="eastAsia"/>
          <w:color w:val="auto"/>
          <w:highlight w:val="none"/>
        </w:rPr>
        <w:t>付款方式：在合同期限内，签订合同之后的</w:t>
      </w:r>
      <w:r>
        <w:rPr>
          <w:rFonts w:hint="eastAsia"/>
          <w:color w:val="auto"/>
          <w:highlight w:val="none"/>
          <w:lang w:val="en-US" w:eastAsia="zh-CN"/>
        </w:rPr>
        <w:t>3</w:t>
      </w:r>
      <w:r>
        <w:rPr>
          <w:rFonts w:hint="eastAsia"/>
          <w:color w:val="auto"/>
          <w:highlight w:val="none"/>
        </w:rPr>
        <w:t>0个工作日内，甲方按照合同约定的年维护费的50%支付给乙方，年维护费用的余款待每年的维护期且对维护服务经甲方验收合格后，30个工作日内支付（以合同签订为准）</w:t>
      </w:r>
      <w:r>
        <w:rPr>
          <w:rFonts w:hint="eastAsia"/>
          <w:color w:val="auto"/>
          <w:highlight w:val="none"/>
          <w:lang w:eastAsia="zh-CN"/>
        </w:rPr>
        <w:t>。</w:t>
      </w:r>
    </w:p>
    <w:p w14:paraId="584FAD23">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质量要求：符合</w:t>
      </w:r>
      <w:r>
        <w:rPr>
          <w:rFonts w:hint="eastAsia"/>
          <w:color w:val="auto"/>
          <w:highlight w:val="none"/>
          <w:lang w:val="en-US" w:eastAsia="zh-CN"/>
        </w:rPr>
        <w:t>项目需求</w:t>
      </w:r>
      <w:r>
        <w:rPr>
          <w:rFonts w:hint="eastAsia"/>
          <w:color w:val="auto"/>
          <w:highlight w:val="none"/>
        </w:rPr>
        <w:t>。</w:t>
      </w:r>
    </w:p>
    <w:p w14:paraId="03B1EBCA">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评审办法：</w:t>
      </w:r>
      <w:r>
        <w:rPr>
          <w:rFonts w:hint="eastAsia"/>
          <w:color w:val="auto"/>
          <w:highlight w:val="none"/>
          <w:lang w:val="en-US" w:eastAsia="zh-CN"/>
        </w:rPr>
        <w:t>资格审查并谈判</w:t>
      </w:r>
      <w:r>
        <w:rPr>
          <w:color w:val="auto"/>
          <w:highlight w:val="none"/>
        </w:rPr>
        <w:t>。</w:t>
      </w:r>
    </w:p>
    <w:p w14:paraId="5BAF5037">
      <w:pPr>
        <w:pStyle w:val="21"/>
        <w:numPr>
          <w:ilvl w:val="0"/>
          <w:numId w:val="1"/>
        </w:numPr>
        <w:spacing w:line="480" w:lineRule="exact"/>
        <w:ind w:left="0" w:firstLine="424" w:firstLineChars="177"/>
        <w:contextualSpacing/>
        <w:rPr>
          <w:bCs/>
          <w:color w:val="auto"/>
          <w:highlight w:val="none"/>
        </w:rPr>
      </w:pPr>
      <w:r>
        <w:rPr>
          <w:rFonts w:hint="eastAsia"/>
          <w:bCs/>
          <w:color w:val="auto"/>
          <w:highlight w:val="none"/>
        </w:rPr>
        <w:t>报价文件内容（格式自拟）：</w:t>
      </w:r>
    </w:p>
    <w:p w14:paraId="6FA531C8">
      <w:pPr>
        <w:pStyle w:val="21"/>
        <w:numPr>
          <w:ilvl w:val="0"/>
          <w:numId w:val="3"/>
        </w:numPr>
        <w:spacing w:line="480" w:lineRule="exact"/>
        <w:ind w:left="0" w:firstLine="420"/>
        <w:contextualSpacing/>
        <w:rPr>
          <w:bCs/>
          <w:color w:val="auto"/>
          <w:highlight w:val="none"/>
        </w:rPr>
      </w:pPr>
      <w:r>
        <w:rPr>
          <w:rFonts w:hint="eastAsia"/>
          <w:bCs/>
          <w:color w:val="auto"/>
          <w:highlight w:val="none"/>
        </w:rPr>
        <w:t>报价单</w:t>
      </w:r>
    </w:p>
    <w:p w14:paraId="2F73C3C3">
      <w:pPr>
        <w:pStyle w:val="21"/>
        <w:spacing w:line="480" w:lineRule="exact"/>
        <w:ind w:left="420" w:firstLine="480" w:firstLineChars="200"/>
        <w:contextualSpacing/>
        <w:rPr>
          <w:bCs/>
          <w:color w:val="auto"/>
          <w:highlight w:val="none"/>
        </w:rPr>
      </w:pPr>
      <w:r>
        <w:rPr>
          <w:rFonts w:hint="eastAsia"/>
          <w:bCs/>
          <w:color w:val="auto"/>
          <w:highlight w:val="none"/>
        </w:rPr>
        <w:t>须具备计量单位、单价、等内容；</w:t>
      </w:r>
      <w:r>
        <w:rPr>
          <w:bCs/>
          <w:color w:val="auto"/>
          <w:highlight w:val="none"/>
        </w:rPr>
        <w:t xml:space="preserve"> </w:t>
      </w:r>
    </w:p>
    <w:p w14:paraId="0729DE4B">
      <w:pPr>
        <w:pStyle w:val="21"/>
        <w:numPr>
          <w:ilvl w:val="0"/>
          <w:numId w:val="3"/>
        </w:numPr>
        <w:spacing w:line="480" w:lineRule="exact"/>
        <w:ind w:left="0" w:firstLine="420"/>
        <w:contextualSpacing/>
        <w:rPr>
          <w:bCs/>
          <w:color w:val="auto"/>
          <w:highlight w:val="none"/>
        </w:rPr>
      </w:pPr>
      <w:r>
        <w:rPr>
          <w:rFonts w:hint="eastAsia"/>
          <w:bCs/>
          <w:color w:val="auto"/>
          <w:highlight w:val="none"/>
        </w:rPr>
        <w:t>资格审查资料</w:t>
      </w:r>
    </w:p>
    <w:p w14:paraId="6C419D8A">
      <w:pPr>
        <w:pStyle w:val="21"/>
        <w:numPr>
          <w:ilvl w:val="0"/>
          <w:numId w:val="4"/>
        </w:numPr>
        <w:spacing w:line="480" w:lineRule="exact"/>
        <w:ind w:left="0" w:firstLine="420"/>
        <w:contextualSpacing/>
        <w:rPr>
          <w:bCs/>
          <w:color w:val="auto"/>
          <w:highlight w:val="none"/>
        </w:rPr>
      </w:pPr>
      <w:r>
        <w:rPr>
          <w:rFonts w:hint="eastAsia"/>
          <w:bCs/>
          <w:color w:val="auto"/>
          <w:highlight w:val="none"/>
        </w:rPr>
        <w:t>具有营业执照副本或事业单位法人证书或民办非企业单位登记证书或社会团体法人登记证书或基金会法人登记证书，并在有效期内；</w:t>
      </w:r>
    </w:p>
    <w:p w14:paraId="628531F1">
      <w:pPr>
        <w:pStyle w:val="21"/>
        <w:numPr>
          <w:ilvl w:val="0"/>
          <w:numId w:val="4"/>
        </w:numPr>
        <w:spacing w:line="480" w:lineRule="exact"/>
        <w:ind w:left="0" w:firstLine="420"/>
        <w:contextualSpacing/>
        <w:rPr>
          <w:bCs/>
          <w:color w:val="auto"/>
          <w:highlight w:val="none"/>
        </w:rPr>
      </w:pPr>
      <w:r>
        <w:rPr>
          <w:rFonts w:hint="eastAsia"/>
          <w:bCs/>
          <w:color w:val="auto"/>
          <w:highlight w:val="none"/>
        </w:rPr>
        <w:t>在“信用中国”网站(https://www.creditchina.gov.cn/)查询严重失信主体名单，未被列入名单并将查询结果截图加盖单位公章；</w:t>
      </w:r>
    </w:p>
    <w:p w14:paraId="2EBDFB6E">
      <w:pPr>
        <w:pStyle w:val="21"/>
        <w:numPr>
          <w:ilvl w:val="0"/>
          <w:numId w:val="4"/>
        </w:numPr>
        <w:spacing w:line="480" w:lineRule="exact"/>
        <w:ind w:left="0" w:firstLine="420"/>
        <w:contextualSpacing/>
        <w:rPr>
          <w:bCs/>
          <w:color w:val="auto"/>
          <w:highlight w:val="none"/>
        </w:rPr>
      </w:pPr>
      <w:r>
        <w:rPr>
          <w:rFonts w:hint="eastAsia"/>
          <w:bCs/>
          <w:color w:val="auto"/>
          <w:highlight w:val="none"/>
        </w:rPr>
        <w:t>授权委托书；</w:t>
      </w:r>
    </w:p>
    <w:p w14:paraId="6D4D5C90">
      <w:pPr>
        <w:pStyle w:val="21"/>
        <w:numPr>
          <w:ilvl w:val="0"/>
          <w:numId w:val="4"/>
        </w:numPr>
        <w:spacing w:line="480" w:lineRule="exact"/>
        <w:ind w:left="0" w:firstLine="420"/>
        <w:contextualSpacing/>
        <w:rPr>
          <w:bCs/>
          <w:color w:val="auto"/>
          <w:highlight w:val="none"/>
        </w:rPr>
      </w:pPr>
      <w:r>
        <w:rPr>
          <w:rFonts w:hint="eastAsia"/>
          <w:color w:val="auto"/>
          <w:highlight w:val="none"/>
        </w:rPr>
        <w:t>非联合体投标承诺书。</w:t>
      </w:r>
    </w:p>
    <w:p w14:paraId="4BE4F666">
      <w:pPr>
        <w:pStyle w:val="21"/>
        <w:numPr>
          <w:ilvl w:val="0"/>
          <w:numId w:val="1"/>
        </w:numPr>
        <w:spacing w:line="480" w:lineRule="exact"/>
        <w:ind w:left="0" w:firstLine="424" w:firstLineChars="177"/>
        <w:contextualSpacing/>
        <w:rPr>
          <w:bCs/>
          <w:color w:val="auto"/>
          <w:highlight w:val="none"/>
        </w:rPr>
      </w:pPr>
      <w:r>
        <w:rPr>
          <w:rFonts w:hint="eastAsia"/>
          <w:bCs/>
          <w:color w:val="auto"/>
          <w:highlight w:val="none"/>
        </w:rPr>
        <w:t>报价要求</w:t>
      </w:r>
    </w:p>
    <w:p w14:paraId="29CD8B16">
      <w:pPr>
        <w:pStyle w:val="21"/>
        <w:numPr>
          <w:ilvl w:val="0"/>
          <w:numId w:val="5"/>
        </w:numPr>
        <w:spacing w:line="480" w:lineRule="exact"/>
        <w:ind w:left="0" w:firstLine="420"/>
        <w:contextualSpacing/>
        <w:rPr>
          <w:bCs/>
          <w:color w:val="auto"/>
          <w:highlight w:val="none"/>
        </w:rPr>
      </w:pPr>
      <w:r>
        <w:rPr>
          <w:rFonts w:hint="eastAsia"/>
          <w:bCs/>
          <w:color w:val="auto"/>
          <w:highlight w:val="none"/>
        </w:rPr>
        <w:t>参与报价供应商请登录“津水云采”平台http://www.jinshuiyuncai.com。此次报价为线上报价，报价文件均需加盖公章，按照报价文件内容要求上传报价；一次性报出最具竞争力的价格，提供分项报价并合计总价，所报价格为到货含税价。所报价格应包括</w:t>
      </w:r>
      <w:r>
        <w:rPr>
          <w:rFonts w:hint="eastAsia"/>
          <w:bCs/>
          <w:color w:val="auto"/>
          <w:highlight w:val="none"/>
          <w:lang w:val="en-US" w:eastAsia="zh-CN"/>
        </w:rPr>
        <w:t>本项目</w:t>
      </w:r>
      <w:r>
        <w:rPr>
          <w:rFonts w:hint="eastAsia"/>
          <w:bCs/>
          <w:color w:val="auto"/>
          <w:highlight w:val="none"/>
        </w:rPr>
        <w:t>全部费用。</w:t>
      </w:r>
    </w:p>
    <w:p w14:paraId="4D5D9146">
      <w:pPr>
        <w:pStyle w:val="21"/>
        <w:numPr>
          <w:ilvl w:val="0"/>
          <w:numId w:val="5"/>
        </w:numPr>
        <w:spacing w:line="480" w:lineRule="exact"/>
        <w:ind w:left="0" w:firstLine="420"/>
        <w:contextualSpacing/>
        <w:rPr>
          <w:bCs/>
          <w:color w:val="auto"/>
          <w:highlight w:val="none"/>
        </w:rPr>
      </w:pPr>
      <w:r>
        <w:rPr>
          <w:rFonts w:hint="eastAsia"/>
          <w:bCs/>
          <w:color w:val="auto"/>
          <w:highlight w:val="none"/>
        </w:rPr>
        <w:t>按照报价格式要求将报价文件扫描成PDF的形式，上传报价文件扫描件（盖章）。</w:t>
      </w:r>
    </w:p>
    <w:p w14:paraId="199B12CF">
      <w:pPr>
        <w:pStyle w:val="21"/>
        <w:numPr>
          <w:ilvl w:val="0"/>
          <w:numId w:val="5"/>
        </w:numPr>
        <w:spacing w:line="480" w:lineRule="exact"/>
        <w:ind w:left="0" w:firstLine="420"/>
        <w:contextualSpacing/>
        <w:rPr>
          <w:bCs/>
          <w:color w:val="auto"/>
          <w:highlight w:val="none"/>
        </w:rPr>
      </w:pPr>
      <w:r>
        <w:rPr>
          <w:rFonts w:hint="eastAsia"/>
          <w:bCs/>
          <w:color w:val="auto"/>
          <w:highlight w:val="none"/>
        </w:rPr>
        <w:t>报价文件需编制目录并标注页码。</w:t>
      </w:r>
    </w:p>
    <w:p w14:paraId="2597CA16">
      <w:pPr>
        <w:pStyle w:val="21"/>
        <w:numPr>
          <w:ilvl w:val="0"/>
          <w:numId w:val="5"/>
        </w:numPr>
        <w:spacing w:line="480" w:lineRule="exact"/>
        <w:ind w:left="0" w:firstLine="420"/>
        <w:contextualSpacing/>
        <w:rPr>
          <w:b w:val="0"/>
          <w:bCs/>
          <w:color w:val="auto"/>
          <w:highlight w:val="none"/>
        </w:rPr>
      </w:pPr>
      <w:r>
        <w:rPr>
          <w:rFonts w:hint="eastAsia"/>
          <w:b w:val="0"/>
          <w:bCs/>
          <w:color w:val="auto"/>
          <w:highlight w:val="none"/>
        </w:rPr>
        <w:t>报价文件应严格按照询价公告及询价文件要求提报资料, 资料不齐或未上传电子版文件视为无效报价将被否决。</w:t>
      </w:r>
    </w:p>
    <w:p w14:paraId="7C8916D6">
      <w:pPr>
        <w:pStyle w:val="21"/>
        <w:spacing w:line="480" w:lineRule="exact"/>
        <w:contextualSpacing/>
        <w:rPr>
          <w:b/>
          <w:color w:val="auto"/>
          <w:sz w:val="18"/>
          <w:szCs w:val="18"/>
          <w:highlight w:val="none"/>
        </w:rPr>
      </w:pPr>
      <w:r>
        <w:rPr>
          <w:rFonts w:hint="eastAsia"/>
          <w:b/>
          <w:color w:val="auto"/>
          <w:sz w:val="18"/>
          <w:szCs w:val="18"/>
          <w:highlight w:val="none"/>
        </w:rPr>
        <w:t>注：请报价人认真阅读询价文件要求，任意一项的不响应将导致投标被否决。如有格式要求的，请按照格式提供，如未提供格式的，请报价人自拟，包含但不限于格式中内容。</w:t>
      </w:r>
    </w:p>
    <w:p w14:paraId="323E005C">
      <w:pPr>
        <w:pStyle w:val="21"/>
        <w:numPr>
          <w:ilvl w:val="0"/>
          <w:numId w:val="1"/>
        </w:numPr>
        <w:spacing w:line="480" w:lineRule="exact"/>
        <w:ind w:left="0" w:firstLine="424" w:firstLineChars="177"/>
        <w:contextualSpacing/>
        <w:rPr>
          <w:color w:val="auto"/>
          <w:highlight w:val="none"/>
        </w:rPr>
      </w:pPr>
      <w:r>
        <w:rPr>
          <w:rFonts w:hint="eastAsia"/>
          <w:color w:val="auto"/>
          <w:highlight w:val="none"/>
        </w:rPr>
        <w:t>报价文件的提交</w:t>
      </w:r>
    </w:p>
    <w:p w14:paraId="0FA0A390">
      <w:pPr>
        <w:pStyle w:val="21"/>
        <w:numPr>
          <w:ilvl w:val="0"/>
          <w:numId w:val="6"/>
        </w:numPr>
        <w:spacing w:line="480" w:lineRule="exact"/>
        <w:ind w:left="0" w:firstLine="420" w:firstLineChars="175"/>
        <w:contextualSpacing/>
        <w:rPr>
          <w:color w:val="auto"/>
          <w:highlight w:val="none"/>
        </w:rPr>
      </w:pPr>
      <w:r>
        <w:rPr>
          <w:rFonts w:hint="eastAsia"/>
          <w:color w:val="auto"/>
          <w:highlight w:val="none"/>
        </w:rPr>
        <w:t>报价文件提交的截止时间：</w:t>
      </w:r>
      <w:r>
        <w:rPr>
          <w:rFonts w:hint="eastAsia" w:ascii="华文宋体" w:hAnsi="华文宋体" w:eastAsia="华文宋体" w:cs="华文宋体"/>
          <w:b/>
          <w:bCs/>
          <w:color w:val="auto"/>
          <w:highlight w:val="none"/>
        </w:rPr>
        <w:t>202</w:t>
      </w:r>
      <w:r>
        <w:rPr>
          <w:rFonts w:hint="eastAsia" w:ascii="华文宋体" w:hAnsi="华文宋体" w:eastAsia="华文宋体" w:cs="华文宋体"/>
          <w:b/>
          <w:bCs/>
          <w:color w:val="auto"/>
          <w:highlight w:val="none"/>
          <w:lang w:val="en-US" w:eastAsia="zh-CN"/>
        </w:rPr>
        <w:t>6</w:t>
      </w:r>
      <w:r>
        <w:rPr>
          <w:rFonts w:hint="eastAsia" w:ascii="华文宋体" w:hAnsi="华文宋体" w:eastAsia="华文宋体" w:cs="华文宋体"/>
          <w:b/>
          <w:bCs/>
          <w:color w:val="auto"/>
          <w:highlight w:val="none"/>
        </w:rPr>
        <w:t>年</w:t>
      </w:r>
      <w:r>
        <w:rPr>
          <w:rFonts w:hint="eastAsia" w:ascii="华文宋体" w:hAnsi="华文宋体" w:eastAsia="华文宋体" w:cs="华文宋体"/>
          <w:b/>
          <w:bCs/>
          <w:color w:val="auto"/>
          <w:highlight w:val="none"/>
          <w:lang w:val="en-US" w:eastAsia="zh-CN"/>
        </w:rPr>
        <w:t>6</w:t>
      </w:r>
      <w:r>
        <w:rPr>
          <w:rFonts w:hint="eastAsia" w:ascii="华文宋体" w:hAnsi="华文宋体" w:eastAsia="华文宋体" w:cs="华文宋体"/>
          <w:b/>
          <w:bCs/>
          <w:color w:val="auto"/>
          <w:highlight w:val="none"/>
        </w:rPr>
        <w:t>月</w:t>
      </w:r>
      <w:r>
        <w:rPr>
          <w:rFonts w:hint="eastAsia" w:ascii="华文宋体" w:hAnsi="华文宋体" w:eastAsia="华文宋体" w:cs="华文宋体"/>
          <w:b/>
          <w:bCs/>
          <w:color w:val="auto"/>
          <w:highlight w:val="none"/>
          <w:lang w:val="en-US" w:eastAsia="zh-CN"/>
        </w:rPr>
        <w:t>2</w:t>
      </w:r>
      <w:r>
        <w:rPr>
          <w:rFonts w:hint="eastAsia" w:ascii="华文宋体" w:hAnsi="华文宋体" w:eastAsia="华文宋体" w:cs="华文宋体"/>
          <w:b/>
          <w:bCs/>
          <w:color w:val="auto"/>
          <w:highlight w:val="none"/>
        </w:rPr>
        <w:t>日1</w:t>
      </w:r>
      <w:r>
        <w:rPr>
          <w:rFonts w:hint="eastAsia" w:ascii="华文宋体" w:hAnsi="华文宋体" w:eastAsia="华文宋体" w:cs="华文宋体"/>
          <w:b/>
          <w:bCs/>
          <w:color w:val="auto"/>
          <w:highlight w:val="none"/>
          <w:lang w:val="en-US" w:eastAsia="zh-CN"/>
        </w:rPr>
        <w:t>7</w:t>
      </w:r>
      <w:r>
        <w:rPr>
          <w:rFonts w:hint="eastAsia" w:ascii="华文宋体" w:hAnsi="华文宋体" w:eastAsia="华文宋体" w:cs="华文宋体"/>
          <w:b/>
          <w:bCs/>
          <w:color w:val="auto"/>
          <w:highlight w:val="none"/>
        </w:rPr>
        <w:t>:00</w:t>
      </w:r>
      <w:r>
        <w:rPr>
          <w:rFonts w:hint="eastAsia"/>
          <w:color w:val="auto"/>
          <w:highlight w:val="none"/>
        </w:rPr>
        <w:t>。</w:t>
      </w:r>
    </w:p>
    <w:p w14:paraId="1B3FD848">
      <w:pPr>
        <w:pStyle w:val="21"/>
        <w:numPr>
          <w:ilvl w:val="0"/>
          <w:numId w:val="6"/>
        </w:numPr>
        <w:spacing w:line="480" w:lineRule="exact"/>
        <w:ind w:left="0" w:firstLine="420" w:firstLineChars="175"/>
        <w:contextualSpacing/>
        <w:rPr>
          <w:rFonts w:hint="eastAsia"/>
          <w:color w:val="auto"/>
          <w:highlight w:val="none"/>
        </w:rPr>
      </w:pPr>
      <w:r>
        <w:rPr>
          <w:rFonts w:hint="eastAsia"/>
          <w:color w:val="auto"/>
          <w:highlight w:val="none"/>
        </w:rPr>
        <w:t>报价文件递交方式：报价文件加盖公章并上传“津水云采”平台。</w:t>
      </w:r>
    </w:p>
    <w:p w14:paraId="19025B79">
      <w:pPr>
        <w:pStyle w:val="21"/>
        <w:numPr>
          <w:ilvl w:val="0"/>
          <w:numId w:val="6"/>
        </w:numPr>
        <w:spacing w:line="480" w:lineRule="exact"/>
        <w:ind w:left="0" w:firstLine="420" w:firstLineChars="175"/>
        <w:contextualSpacing/>
        <w:rPr>
          <w:rFonts w:hint="eastAsia"/>
          <w:color w:val="auto"/>
          <w:highlight w:val="none"/>
          <w:lang w:val="en-US" w:eastAsia="zh-CN"/>
        </w:rPr>
      </w:pPr>
      <w:r>
        <w:rPr>
          <w:rFonts w:hint="eastAsia"/>
          <w:color w:val="auto"/>
          <w:highlight w:val="none"/>
        </w:rPr>
        <w:t>开标地点：线上开标，不举行现场开标仪式。</w:t>
      </w:r>
    </w:p>
    <w:p w14:paraId="6BB40861">
      <w:pPr>
        <w:pStyle w:val="21"/>
        <w:numPr>
          <w:ilvl w:val="0"/>
          <w:numId w:val="0"/>
        </w:numPr>
        <w:spacing w:line="480" w:lineRule="exact"/>
        <w:contextualSpacing/>
        <w:rPr>
          <w:rFonts w:hint="eastAsia"/>
          <w:color w:val="auto"/>
          <w:highlight w:val="none"/>
          <w:lang w:eastAsia="zh-CN"/>
        </w:rPr>
      </w:pPr>
    </w:p>
    <w:p w14:paraId="3127786E">
      <w:pPr>
        <w:pStyle w:val="21"/>
        <w:numPr>
          <w:ilvl w:val="0"/>
          <w:numId w:val="0"/>
        </w:numPr>
        <w:spacing w:line="480" w:lineRule="exact"/>
        <w:contextualSpacing/>
        <w:rPr>
          <w:rFonts w:hint="eastAsia"/>
          <w:color w:val="auto"/>
          <w:highlight w:val="none"/>
          <w:lang w:eastAsia="zh-CN"/>
        </w:rPr>
      </w:pPr>
    </w:p>
    <w:p w14:paraId="32F42C21">
      <w:pPr>
        <w:pStyle w:val="21"/>
        <w:numPr>
          <w:ilvl w:val="0"/>
          <w:numId w:val="0"/>
        </w:numPr>
        <w:spacing w:line="480" w:lineRule="exact"/>
        <w:contextualSpacing/>
        <w:rPr>
          <w:rFonts w:hint="eastAsia"/>
          <w:color w:val="auto"/>
          <w:highlight w:val="none"/>
          <w:lang w:eastAsia="zh-CN"/>
        </w:rPr>
      </w:pPr>
    </w:p>
    <w:p w14:paraId="6B78421B">
      <w:pPr>
        <w:pStyle w:val="21"/>
        <w:numPr>
          <w:ilvl w:val="0"/>
          <w:numId w:val="0"/>
        </w:numPr>
        <w:spacing w:line="480" w:lineRule="exact"/>
        <w:contextualSpacing/>
        <w:rPr>
          <w:rFonts w:hint="eastAsia"/>
          <w:color w:val="auto"/>
          <w:highlight w:val="none"/>
          <w:lang w:eastAsia="zh-CN"/>
        </w:rPr>
      </w:pPr>
    </w:p>
    <w:p w14:paraId="2FD50F8B">
      <w:pPr>
        <w:pStyle w:val="21"/>
        <w:numPr>
          <w:ilvl w:val="0"/>
          <w:numId w:val="0"/>
        </w:numPr>
        <w:spacing w:line="480" w:lineRule="exact"/>
        <w:contextualSpacing/>
        <w:rPr>
          <w:rFonts w:hint="eastAsia"/>
          <w:color w:val="auto"/>
          <w:highlight w:val="none"/>
          <w:lang w:eastAsia="zh-CN"/>
        </w:rPr>
      </w:pPr>
    </w:p>
    <w:p w14:paraId="4D272FF3">
      <w:pPr>
        <w:pStyle w:val="21"/>
        <w:numPr>
          <w:ilvl w:val="0"/>
          <w:numId w:val="0"/>
        </w:numPr>
        <w:spacing w:line="480" w:lineRule="exact"/>
        <w:contextualSpacing/>
        <w:rPr>
          <w:rFonts w:hint="eastAsia"/>
          <w:color w:val="auto"/>
          <w:highlight w:val="none"/>
          <w:lang w:eastAsia="zh-CN"/>
        </w:rPr>
      </w:pPr>
    </w:p>
    <w:p w14:paraId="3A895A5D">
      <w:pPr>
        <w:pStyle w:val="21"/>
        <w:numPr>
          <w:ilvl w:val="0"/>
          <w:numId w:val="0"/>
        </w:numPr>
        <w:spacing w:line="480" w:lineRule="exact"/>
        <w:contextualSpacing/>
        <w:rPr>
          <w:rFonts w:hint="eastAsia"/>
          <w:color w:val="auto"/>
          <w:highlight w:val="none"/>
          <w:lang w:eastAsia="zh-CN"/>
        </w:rPr>
      </w:pPr>
    </w:p>
    <w:p w14:paraId="480B9EDD">
      <w:pPr>
        <w:pStyle w:val="21"/>
        <w:numPr>
          <w:ilvl w:val="0"/>
          <w:numId w:val="0"/>
        </w:numPr>
        <w:spacing w:line="480" w:lineRule="exact"/>
        <w:contextualSpacing/>
        <w:rPr>
          <w:rFonts w:hint="eastAsia"/>
          <w:color w:val="auto"/>
          <w:highlight w:val="none"/>
          <w:lang w:eastAsia="zh-CN"/>
        </w:rPr>
      </w:pPr>
    </w:p>
    <w:p w14:paraId="7150E627">
      <w:pPr>
        <w:pStyle w:val="21"/>
        <w:numPr>
          <w:ilvl w:val="0"/>
          <w:numId w:val="0"/>
        </w:numPr>
        <w:spacing w:line="480" w:lineRule="exact"/>
        <w:contextualSpacing/>
        <w:rPr>
          <w:rFonts w:hint="eastAsia"/>
          <w:color w:val="auto"/>
          <w:highlight w:val="none"/>
          <w:lang w:eastAsia="zh-CN"/>
        </w:rPr>
      </w:pPr>
    </w:p>
    <w:p w14:paraId="45B3220C">
      <w:pPr>
        <w:pStyle w:val="21"/>
        <w:numPr>
          <w:ilvl w:val="0"/>
          <w:numId w:val="0"/>
        </w:numPr>
        <w:spacing w:line="480" w:lineRule="exact"/>
        <w:contextualSpacing/>
        <w:rPr>
          <w:rFonts w:hint="eastAsia"/>
          <w:color w:val="auto"/>
          <w:highlight w:val="none"/>
          <w:lang w:eastAsia="zh-CN"/>
        </w:rPr>
      </w:pPr>
    </w:p>
    <w:p w14:paraId="0DE28F57">
      <w:pPr>
        <w:pStyle w:val="21"/>
        <w:numPr>
          <w:ilvl w:val="0"/>
          <w:numId w:val="0"/>
        </w:numPr>
        <w:spacing w:line="480" w:lineRule="exact"/>
        <w:contextualSpacing/>
        <w:rPr>
          <w:rFonts w:hint="eastAsia"/>
          <w:color w:val="auto"/>
          <w:highlight w:val="none"/>
          <w:lang w:eastAsia="zh-CN"/>
        </w:rPr>
      </w:pPr>
    </w:p>
    <w:p w14:paraId="32B55C8E">
      <w:pPr>
        <w:pStyle w:val="21"/>
        <w:numPr>
          <w:ilvl w:val="0"/>
          <w:numId w:val="0"/>
        </w:numPr>
        <w:spacing w:line="480" w:lineRule="exact"/>
        <w:contextualSpacing/>
        <w:rPr>
          <w:rFonts w:hint="eastAsia"/>
          <w:color w:val="auto"/>
          <w:highlight w:val="none"/>
          <w:lang w:eastAsia="zh-CN"/>
        </w:rPr>
      </w:pPr>
    </w:p>
    <w:p w14:paraId="2C3BCD9F">
      <w:pPr>
        <w:pStyle w:val="21"/>
        <w:numPr>
          <w:ilvl w:val="0"/>
          <w:numId w:val="0"/>
        </w:numPr>
        <w:spacing w:line="480" w:lineRule="exact"/>
        <w:contextualSpacing/>
        <w:rPr>
          <w:rFonts w:hint="eastAsia"/>
          <w:color w:val="auto"/>
          <w:highlight w:val="none"/>
          <w:lang w:eastAsia="zh-CN"/>
        </w:rPr>
      </w:pPr>
    </w:p>
    <w:p w14:paraId="1FCD7364">
      <w:pPr>
        <w:pStyle w:val="21"/>
        <w:numPr>
          <w:ilvl w:val="0"/>
          <w:numId w:val="0"/>
        </w:numPr>
        <w:spacing w:line="480" w:lineRule="exact"/>
        <w:contextualSpacing/>
        <w:rPr>
          <w:rFonts w:hint="eastAsia"/>
          <w:color w:val="auto"/>
          <w:highlight w:val="none"/>
          <w:lang w:eastAsia="zh-CN"/>
        </w:rPr>
      </w:pPr>
    </w:p>
    <w:p w14:paraId="3E8FA359">
      <w:pPr>
        <w:pStyle w:val="21"/>
        <w:numPr>
          <w:ilvl w:val="0"/>
          <w:numId w:val="0"/>
        </w:numPr>
        <w:spacing w:line="480" w:lineRule="exact"/>
        <w:contextualSpacing/>
        <w:rPr>
          <w:rFonts w:hint="eastAsia"/>
          <w:color w:val="auto"/>
          <w:highlight w:val="none"/>
          <w:lang w:eastAsia="zh-CN"/>
        </w:rPr>
      </w:pPr>
      <w:r>
        <w:rPr>
          <w:rFonts w:hint="eastAsia"/>
          <w:color w:val="auto"/>
          <w:highlight w:val="none"/>
          <w:lang w:eastAsia="zh-CN"/>
        </w:rPr>
        <w:t>附图：</w:t>
      </w:r>
    </w:p>
    <w:p w14:paraId="501E8026">
      <w:pPr>
        <w:pStyle w:val="21"/>
        <w:numPr>
          <w:ilvl w:val="0"/>
          <w:numId w:val="0"/>
        </w:numPr>
        <w:spacing w:line="480" w:lineRule="exact"/>
        <w:contextualSpacing/>
        <w:rPr>
          <w:rFonts w:hint="eastAsia"/>
          <w:color w:val="auto"/>
          <w:highlight w:val="none"/>
          <w:lang w:eastAsia="zh-CN"/>
        </w:rPr>
      </w:pPr>
      <w:r>
        <w:rPr>
          <w:color w:val="auto"/>
          <w:highlight w:val="none"/>
        </w:rPr>
        <w:drawing>
          <wp:anchor distT="0" distB="0" distL="114300" distR="114300" simplePos="0" relativeHeight="251660288" behindDoc="0" locked="0" layoutInCell="1" allowOverlap="1">
            <wp:simplePos x="0" y="0"/>
            <wp:positionH relativeFrom="column">
              <wp:posOffset>190500</wp:posOffset>
            </wp:positionH>
            <wp:positionV relativeFrom="paragraph">
              <wp:posOffset>2590800</wp:posOffset>
            </wp:positionV>
            <wp:extent cx="4953635" cy="3359785"/>
            <wp:effectExtent l="0" t="0" r="18415" b="12065"/>
            <wp:wrapTopAndBottom/>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4"/>
                    <a:stretch>
                      <a:fillRect/>
                    </a:stretch>
                  </pic:blipFill>
                  <pic:spPr>
                    <a:xfrm>
                      <a:off x="0" y="0"/>
                      <a:ext cx="4953635" cy="3359785"/>
                    </a:xfrm>
                    <a:prstGeom prst="rect">
                      <a:avLst/>
                    </a:prstGeom>
                    <a:noFill/>
                    <a:ln>
                      <a:noFill/>
                    </a:ln>
                  </pic:spPr>
                </pic:pic>
              </a:graphicData>
            </a:graphic>
          </wp:anchor>
        </w:drawing>
      </w:r>
      <w:r>
        <w:rPr>
          <w:color w:val="auto"/>
          <w:highlight w:val="none"/>
        </w:rPr>
        <w:drawing>
          <wp:anchor distT="0" distB="0" distL="114935" distR="114935" simplePos="0" relativeHeight="251659264" behindDoc="0" locked="0" layoutInCell="1" allowOverlap="1">
            <wp:simplePos x="0" y="0"/>
            <wp:positionH relativeFrom="column">
              <wp:posOffset>142875</wp:posOffset>
            </wp:positionH>
            <wp:positionV relativeFrom="paragraph">
              <wp:posOffset>304800</wp:posOffset>
            </wp:positionV>
            <wp:extent cx="5000625" cy="2146300"/>
            <wp:effectExtent l="0" t="0" r="9525" b="6350"/>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000625" cy="2146300"/>
                    </a:xfrm>
                    <a:prstGeom prst="rect">
                      <a:avLst/>
                    </a:prstGeom>
                    <a:noFill/>
                    <a:ln>
                      <a:noFill/>
                    </a:ln>
                  </pic:spPr>
                </pic:pic>
              </a:graphicData>
            </a:graphic>
          </wp:anchor>
        </w:drawing>
      </w:r>
    </w:p>
    <w:p w14:paraId="064801FD">
      <w:pPr>
        <w:pStyle w:val="21"/>
        <w:numPr>
          <w:ilvl w:val="-1"/>
          <w:numId w:val="0"/>
        </w:numPr>
        <w:spacing w:line="480" w:lineRule="exact"/>
        <w:ind w:left="0" w:leftChars="0" w:firstLine="0" w:firstLineChars="0"/>
        <w:contextualSpacing/>
        <w:rPr>
          <w:rFonts w:hint="eastAsia"/>
          <w:color w:val="auto"/>
          <w:highlight w:val="none"/>
          <w:lang w:val="en-US" w:eastAsia="zh-CN"/>
        </w:rPr>
      </w:pPr>
    </w:p>
    <w:p w14:paraId="0B49DC4D">
      <w:pPr>
        <w:pStyle w:val="21"/>
        <w:numPr>
          <w:ilvl w:val="-1"/>
          <w:numId w:val="0"/>
        </w:numPr>
        <w:spacing w:line="480" w:lineRule="exact"/>
        <w:ind w:left="0" w:leftChars="0" w:firstLine="0" w:firstLineChars="0"/>
        <w:contextualSpacing/>
        <w:rPr>
          <w:rFonts w:hint="eastAsia"/>
          <w:color w:val="auto"/>
          <w:highlight w:val="none"/>
          <w:lang w:val="en-US" w:eastAsia="zh-CN"/>
        </w:rPr>
      </w:pPr>
    </w:p>
    <w:p w14:paraId="10026259">
      <w:pPr>
        <w:pStyle w:val="21"/>
        <w:numPr>
          <w:ilvl w:val="-1"/>
          <w:numId w:val="0"/>
        </w:numPr>
        <w:spacing w:line="480" w:lineRule="exact"/>
        <w:ind w:left="0" w:leftChars="0" w:firstLine="0" w:firstLineChars="0"/>
        <w:contextualSpacing/>
        <w:rPr>
          <w:rFonts w:hint="eastAsia"/>
          <w:color w:val="auto"/>
          <w:highlight w:val="none"/>
          <w:lang w:val="en-US" w:eastAsia="zh-CN"/>
        </w:rPr>
      </w:pPr>
    </w:p>
    <w:p w14:paraId="3F759074">
      <w:pPr>
        <w:pStyle w:val="21"/>
        <w:numPr>
          <w:ilvl w:val="-1"/>
          <w:numId w:val="0"/>
        </w:numPr>
        <w:spacing w:line="480" w:lineRule="exact"/>
        <w:ind w:left="0" w:leftChars="0" w:firstLine="0" w:firstLineChars="0"/>
        <w:contextualSpacing/>
        <w:rPr>
          <w:rFonts w:hint="eastAsia"/>
          <w:color w:val="auto"/>
          <w:highlight w:val="none"/>
          <w:lang w:val="en-US" w:eastAsia="zh-CN"/>
        </w:rPr>
      </w:pPr>
    </w:p>
    <w:p w14:paraId="1E30F716">
      <w:pPr>
        <w:pStyle w:val="21"/>
        <w:numPr>
          <w:ilvl w:val="-1"/>
          <w:numId w:val="0"/>
        </w:numPr>
        <w:spacing w:line="480" w:lineRule="exact"/>
        <w:ind w:left="0" w:leftChars="0" w:firstLine="0" w:firstLineChars="0"/>
        <w:contextualSpacing/>
        <w:rPr>
          <w:rFonts w:hint="eastAsia"/>
          <w:color w:val="auto"/>
          <w:highlight w:val="none"/>
          <w:lang w:val="en-US" w:eastAsia="zh-CN"/>
        </w:rPr>
      </w:pPr>
    </w:p>
    <w:p w14:paraId="05C1D744">
      <w:pPr>
        <w:pStyle w:val="21"/>
        <w:numPr>
          <w:ilvl w:val="-1"/>
          <w:numId w:val="0"/>
        </w:numPr>
        <w:spacing w:line="480" w:lineRule="exact"/>
        <w:ind w:left="0" w:leftChars="0" w:firstLine="0" w:firstLineChars="0"/>
        <w:contextualSpacing/>
        <w:rPr>
          <w:rFonts w:hint="eastAsia"/>
          <w:color w:val="auto"/>
          <w:highlight w:val="none"/>
          <w:lang w:val="en-US" w:eastAsia="zh-CN"/>
        </w:rPr>
      </w:pPr>
    </w:p>
    <w:p w14:paraId="27CD790D">
      <w:pPr>
        <w:pStyle w:val="21"/>
        <w:numPr>
          <w:ilvl w:val="-1"/>
          <w:numId w:val="0"/>
        </w:numPr>
        <w:spacing w:line="480" w:lineRule="exact"/>
        <w:ind w:left="0" w:leftChars="0" w:firstLine="0" w:firstLineChars="0"/>
        <w:contextualSpacing/>
        <w:rPr>
          <w:rFonts w:hint="eastAsia"/>
          <w:color w:val="auto"/>
          <w:highlight w:val="none"/>
          <w:lang w:val="en-US" w:eastAsia="zh-CN"/>
        </w:rPr>
      </w:pPr>
    </w:p>
    <w:p w14:paraId="5A64B80C">
      <w:pPr>
        <w:pStyle w:val="21"/>
        <w:numPr>
          <w:ilvl w:val="-1"/>
          <w:numId w:val="0"/>
        </w:numPr>
        <w:spacing w:line="480" w:lineRule="exact"/>
        <w:ind w:left="0" w:leftChars="0" w:firstLine="0" w:firstLineChars="0"/>
        <w:contextualSpacing/>
        <w:rPr>
          <w:rFonts w:hint="eastAsia"/>
          <w:color w:val="auto"/>
          <w:highlight w:val="none"/>
          <w:lang w:val="en-US" w:eastAsia="zh-CN"/>
        </w:rPr>
      </w:pPr>
    </w:p>
    <w:p w14:paraId="2972DF89">
      <w:pPr>
        <w:jc w:val="center"/>
        <w:rPr>
          <w:rFonts w:hint="eastAsia" w:ascii="华文宋体" w:hAnsi="华文宋体" w:eastAsia="华文宋体" w:cs="华文宋体"/>
          <w:b/>
          <w:bCs/>
          <w:sz w:val="44"/>
          <w:szCs w:val="44"/>
          <w:highlight w:val="none"/>
          <w:lang w:eastAsia="zh-CN"/>
        </w:rPr>
      </w:pPr>
      <w:r>
        <w:rPr>
          <w:rFonts w:hint="eastAsia" w:ascii="华文宋体" w:hAnsi="华文宋体" w:eastAsia="华文宋体" w:cs="华文宋体"/>
          <w:b/>
          <w:bCs/>
          <w:sz w:val="44"/>
          <w:szCs w:val="44"/>
          <w:highlight w:val="none"/>
          <w:lang w:eastAsia="zh-CN"/>
        </w:rPr>
        <w:t>项目需求书</w:t>
      </w:r>
    </w:p>
    <w:p w14:paraId="55D92AB0">
      <w:pPr>
        <w:ind w:left="0" w:leftChars="0" w:firstLine="0" w:firstLineChars="0"/>
        <w:rPr>
          <w:rFonts w:hint="eastAsia"/>
          <w:sz w:val="28"/>
          <w:szCs w:val="28"/>
          <w:highlight w:val="none"/>
          <w:lang w:eastAsia="zh-CN"/>
        </w:rPr>
      </w:pPr>
      <w:r>
        <w:rPr>
          <w:rFonts w:hint="eastAsia" w:ascii="仿宋_GB2312" w:hAnsi="仿宋_GB2312" w:eastAsia="仿宋_GB2312" w:cs="仿宋_GB2312"/>
          <w:sz w:val="28"/>
          <w:szCs w:val="28"/>
          <w:highlight w:val="none"/>
          <w:lang w:val="en-US" w:eastAsia="zh-CN"/>
        </w:rPr>
        <w:t>为保障天津水务集团有限公司（以下简称“集团公司”）水力模型系统稳定运行，以及提供配合集团公司在此类工作中的优化服务，采购维护服务需求如下：</w:t>
      </w:r>
    </w:p>
    <w:p w14:paraId="45F1661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rPr>
        <w:t>一、需求背景</w:t>
      </w:r>
    </w:p>
    <w:p w14:paraId="012778E3">
      <w:pPr>
        <w:ind w:left="0" w:leftChars="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管网水力模型系统是城市智慧水务的重要组成部分，是供水运行科学调度与管理重要依据。天津市供水管网水力模型系统2011年开始建设，历经两年时间建成。天津市供水管网水力模型系统包括CS和BS两套系统。</w:t>
      </w:r>
    </w:p>
    <w:p w14:paraId="056CFD54">
      <w:pPr>
        <w:ind w:left="0" w:leftChars="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力模型CS系统（简称CS系统）主要针对管网、水厂特定的工况进行平差计算，分析管网运行状态。该系统自投入使用以来，运行稳定良好，在模型更新校核、管网计划停水分析，水厂改造、压力点布设及管网规划等方面发挥了重要作用，该系统目前运算快速高效，维护良好，能够满足各方面分析使用。</w:t>
      </w:r>
    </w:p>
    <w:p w14:paraId="2D88910E">
      <w:pPr>
        <w:ind w:left="0" w:leftChars="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力模型BS系统（简称BS系统）是在CS系统的基础上二次开发系统，该系统能够自动连接SCADA数据、水厂运行等数据，实现水力模型系统数据的实时更新计算，该系统主要在事故应急处理功能、用水量预测、管网爆管分析、供水线路查询、水厂供水区域分析等方面为调度运行提供了重要的科学依据。</w:t>
      </w:r>
    </w:p>
    <w:p w14:paraId="40ED4C1B">
      <w:pPr>
        <w:ind w:left="0" w:leftChars="0" w:firstLine="0" w:firstLineChars="0"/>
        <w:rPr>
          <w:rFonts w:hint="eastAsia" w:ascii="仿宋_GB2312" w:hAnsi="仿宋_GB2312" w:eastAsia="仿宋_GB2312" w:cs="仿宋_GB2312"/>
          <w:sz w:val="28"/>
          <w:szCs w:val="28"/>
          <w:highlight w:val="none"/>
          <w:lang w:val="en-US" w:eastAsia="zh-CN"/>
        </w:rPr>
      </w:pPr>
    </w:p>
    <w:p w14:paraId="0D809E0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二、</w:t>
      </w:r>
      <w:r>
        <w:rPr>
          <w:rFonts w:hint="eastAsia" w:ascii="黑体" w:hAnsi="黑体" w:eastAsia="黑体" w:cs="黑体"/>
          <w:sz w:val="28"/>
          <w:szCs w:val="28"/>
          <w:highlight w:val="none"/>
          <w:lang w:eastAsia="zh-CN"/>
        </w:rPr>
        <w:t>维护</w:t>
      </w:r>
      <w:r>
        <w:rPr>
          <w:rFonts w:hint="eastAsia" w:ascii="黑体" w:hAnsi="黑体" w:eastAsia="黑体" w:cs="黑体"/>
          <w:sz w:val="28"/>
          <w:szCs w:val="28"/>
          <w:highlight w:val="none"/>
          <w:lang w:val="en-US" w:eastAsia="zh-CN"/>
        </w:rPr>
        <w:t>内容</w:t>
      </w:r>
    </w:p>
    <w:p w14:paraId="0F1B2FD1">
      <w:pPr>
        <w:numPr>
          <w:ilvl w:val="0"/>
          <w:numId w:val="7"/>
        </w:numPr>
        <w:ind w:left="0" w:leftChars="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CS系统更新维护具体内容</w:t>
      </w:r>
    </w:p>
    <w:p w14:paraId="5EAF4E43">
      <w:pPr>
        <w:widowControl w:val="0"/>
        <w:numPr>
          <w:ilvl w:val="0"/>
          <w:numId w:val="8"/>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水厂运行数据更新</w:t>
      </w:r>
    </w:p>
    <w:p w14:paraId="678EFCCB">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维护年度内各水厂的泵站基础数据和开停泵运行数据、清水库、水厂出厂压力和流量等变化数据，并将变动数据同步到管网模型中。</w:t>
      </w:r>
    </w:p>
    <w:p w14:paraId="2A8328F1">
      <w:pPr>
        <w:widowControl w:val="0"/>
        <w:numPr>
          <w:ilvl w:val="0"/>
          <w:numId w:val="0"/>
        </w:num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对各水厂各台水泵特性曲线进行矫正和实测，使模型系统中水泵特性曲线运行与目前实际运行相符。</w:t>
      </w:r>
    </w:p>
    <w:p w14:paraId="2D1377B9">
      <w:pPr>
        <w:widowControl w:val="0"/>
        <w:numPr>
          <w:ilvl w:val="0"/>
          <w:numId w:val="8"/>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拓扑结构更新</w:t>
      </w:r>
    </w:p>
    <w:p w14:paraId="2CB3B686">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水力模型拓扑结构更新工作将参考现有的供水管网水力模型拓扑结构，并以天津水务集团提供的最新 GIS管网地理信息为依据，拓扑结构更新主要对天津市城市供水管网水力模型（C/S）系统的DN300mm以上的管网拓扑结构进行更新，为了使水力模型的精度更高、有效性更强，对部分DN200mm的管网进行补录。同时，对原有模型组件属性缺失的进行排查和补充。</w:t>
      </w:r>
    </w:p>
    <w:p w14:paraId="50D1BBAD">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拓扑结构的准确度是模型精度的最大影响因素，对于新增、拆改和拆除的管线进行拓扑结构更新就是模型维护工作的重中之重，由于对每年的新增、拆改、拆除管线没有明显的标识，增大了模型更新维护的工作量，需要对所有管线进行排查，对于有变动的、管径大于DN300mm的管线着重排查核实其连接情况，确保模型拓扑结构的准确性。</w:t>
      </w:r>
    </w:p>
    <w:p w14:paraId="1788C630">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筛选校准维护年度内全是DN300及以上供水管网中的新增、改迁、废弃管网（管线、阀门、节点、消火栓）数据，并将改动数据同步到管网模型中。</w:t>
      </w:r>
    </w:p>
    <w:p w14:paraId="1A799382">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分析校准维护年度内管网属性变更管网（管线、阀门、节点、消火栓）数据，并将改动数据补录到管网模型中。</w:t>
      </w:r>
    </w:p>
    <w:p w14:paraId="7F79B71F">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筛选校准全市供水管网中DN100mm管径消火栓数据，并将消火栓数据补录到管网模型中。消火栓作为城市火灾应急的主要取水来源，是智慧管网中的重要组成部分，也是水力模型的主要组件之一，完善它在水力模型中的完整性是以后水力模型更新的任务之一。由于消火栓不涉及节点需要水量的分配，只需要保证模型中消火栓拓扑结构的准确性。</w:t>
      </w:r>
    </w:p>
    <w:p w14:paraId="50E41F19">
      <w:pPr>
        <w:widowControl w:val="0"/>
        <w:numPr>
          <w:ilvl w:val="0"/>
          <w:numId w:val="8"/>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SCADA监测数据更新</w:t>
      </w:r>
    </w:p>
    <w:p w14:paraId="64E7CFD0">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SCADA监测数据更新包括边界流量计数据、在线大用户贸易结算表数据、在线压力监测数据三个部分。在线监测数据是校验水力模型精度的唯一标准，其数据的多少及准确度直接影响水力模型的精度及实用性，所以对新增、拆改和老化的监测仪表的更新是至关重要的。</w:t>
      </w:r>
    </w:p>
    <w:p w14:paraId="7A79B06E">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筛选维护年度内供水管网中新增、拆改、报废的压力、流量、水质监测点数据，并人工核准监测点名称、安装地址、表连接管径及安装高度等信息，将核准完数据同步到管网模型中。</w:t>
      </w:r>
    </w:p>
    <w:p w14:paraId="6E027E40">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筛选压力、流量和水质在线监测点实时监测数据，核准实测监测数据质量，对表故障、停电、信号传输不畅等原因导致数据进行核准分析补录，并将核准完的数据同步到管网模型中。</w:t>
      </w:r>
    </w:p>
    <w:p w14:paraId="0423A5CC">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模型更新维护的过程中，需要将所有的压力监测点、流量监测点击水质监测点的监测数据下载、整理并导入模型中，便于进行模型的校核工作，监测点数量越多则工作量越大，对于模型精度及实用性的判断就越准确。</w:t>
      </w:r>
    </w:p>
    <w:p w14:paraId="4A85A393">
      <w:pPr>
        <w:widowControl w:val="0"/>
        <w:numPr>
          <w:ilvl w:val="0"/>
          <w:numId w:val="8"/>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节点需水量更新</w:t>
      </w:r>
    </w:p>
    <w:p w14:paraId="02DBBD8D">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管网节点需水量更新包括计量节点流量和未计量节点流量的分配，计量节点流量分配指根据节点用户类型，定义用水变化曲线，准确模拟节点用户用水变化规律，将用户营业用水量分配到模型中对应的节点上；未计量节点流量分配是将产销差根据比流量的形式分配到管网所有节点上。</w:t>
      </w:r>
    </w:p>
    <w:p w14:paraId="43570304">
      <w:pPr>
        <w:widowControl w:val="0"/>
        <w:numPr>
          <w:ilvl w:val="0"/>
          <w:numId w:val="8"/>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水力模型校核</w:t>
      </w:r>
    </w:p>
    <w:p w14:paraId="5C18E5A1">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供水管网水力模型的校核是不断提升水力模型精度的过程，通过模型计算结果和在线监测值的对比，分析与调查引起误差的原因，对模型进行合理的修正，同时对管网状态参数（管道阻力系数 C 值） 的修正，以不断提高水力模型模拟模拟精度。水力模型修正过程从差异比较大、比较明显的地方开始，反复修改多次达到模型模拟误差小于允许误差的状态。对管网模型的修改主要是根据实测情况进行调整：</w:t>
      </w:r>
    </w:p>
    <w:p w14:paraId="4DFB3C43">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(1)调整管段粗糙系数或阻力系数；</w:t>
      </w:r>
    </w:p>
    <w:p w14:paraId="110D7DFC">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(2)调整用户用水量变化曲线，调整节点流量；</w:t>
      </w:r>
    </w:p>
    <w:p w14:paraId="1F27927B">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(3)调整水泵特性曲线；</w:t>
      </w:r>
    </w:p>
    <w:p w14:paraId="5C26EEBE">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(4)个别管段流速和水头损失太大，可能是管径错误，或大用户位置错误，也可能并不是数据错误而是实际存在不合理现象；</w:t>
      </w:r>
    </w:p>
    <w:p w14:paraId="4D135465">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(5)调整管段上的控制阀的开启度；</w:t>
      </w:r>
    </w:p>
    <w:p w14:paraId="1676A1CE">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(6)补充遗漏的管段，包括输图时遗漏的，或原图纸中遗漏的管段；</w:t>
      </w:r>
    </w:p>
    <w:p w14:paraId="0B7CD762">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(7)修改补充管段间的连接关系；</w:t>
      </w:r>
    </w:p>
    <w:p w14:paraId="0AE683A7">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(8)剔除奇异值；</w:t>
      </w:r>
    </w:p>
    <w:p w14:paraId="1ECE2D5D">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(9)修改错误的输入。</w:t>
      </w:r>
    </w:p>
    <w:tbl>
      <w:tblPr>
        <w:tblStyle w:val="2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14:paraId="64A6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blHeader/>
        </w:trPr>
        <w:tc>
          <w:tcPr>
            <w:tcW w:w="4261" w:type="dxa"/>
            <w:vAlign w:val="center"/>
          </w:tcPr>
          <w:p w14:paraId="2B3E1471">
            <w:pPr>
              <w:jc w:val="center"/>
              <w:rPr>
                <w:rFonts w:ascii="Times New Roman" w:hAnsi="Times New Roman" w:cs="Times New Roman"/>
                <w:b/>
                <w:bCs/>
                <w:sz w:val="24"/>
                <w:highlight w:val="none"/>
              </w:rPr>
            </w:pPr>
            <w:r>
              <w:rPr>
                <w:rFonts w:ascii="Times New Roman" w:hAnsi="Times New Roman" w:cs="Times New Roman"/>
                <w:b/>
                <w:bCs/>
                <w:sz w:val="24"/>
                <w:highlight w:val="none"/>
              </w:rPr>
              <w:t>管道材料</w:t>
            </w:r>
          </w:p>
        </w:tc>
        <w:tc>
          <w:tcPr>
            <w:tcW w:w="4261" w:type="dxa"/>
            <w:vAlign w:val="center"/>
          </w:tcPr>
          <w:p w14:paraId="0270DDF7">
            <w:pPr>
              <w:jc w:val="center"/>
              <w:rPr>
                <w:rFonts w:ascii="Times New Roman" w:hAnsi="Times New Roman" w:cs="Times New Roman"/>
                <w:b/>
                <w:bCs/>
                <w:sz w:val="24"/>
                <w:highlight w:val="none"/>
              </w:rPr>
            </w:pPr>
            <w:r>
              <w:rPr>
                <w:rFonts w:ascii="Times New Roman" w:hAnsi="Times New Roman" w:cs="Times New Roman"/>
                <w:b/>
                <w:bCs/>
                <w:sz w:val="24"/>
                <w:highlight w:val="none"/>
              </w:rPr>
              <w:t>C 值</w:t>
            </w:r>
          </w:p>
        </w:tc>
      </w:tr>
      <w:tr w14:paraId="282A0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4DFC2E7C">
            <w:pPr>
              <w:jc w:val="center"/>
              <w:rPr>
                <w:rFonts w:ascii="Times New Roman" w:hAnsi="Times New Roman" w:cs="Times New Roman"/>
                <w:sz w:val="24"/>
                <w:highlight w:val="none"/>
              </w:rPr>
            </w:pPr>
            <w:r>
              <w:rPr>
                <w:rFonts w:ascii="Times New Roman" w:hAnsi="Times New Roman" w:cs="Times New Roman"/>
                <w:sz w:val="24"/>
                <w:highlight w:val="none"/>
              </w:rPr>
              <w:t>塑料管</w:t>
            </w:r>
          </w:p>
        </w:tc>
        <w:tc>
          <w:tcPr>
            <w:tcW w:w="4261" w:type="dxa"/>
            <w:vAlign w:val="center"/>
          </w:tcPr>
          <w:p w14:paraId="5BB4D738">
            <w:pPr>
              <w:jc w:val="center"/>
              <w:rPr>
                <w:rFonts w:ascii="Times New Roman" w:hAnsi="Times New Roman" w:cs="Times New Roman"/>
                <w:sz w:val="24"/>
                <w:highlight w:val="none"/>
              </w:rPr>
            </w:pPr>
            <w:r>
              <w:rPr>
                <w:rFonts w:ascii="Times New Roman" w:hAnsi="Times New Roman" w:cs="Times New Roman"/>
                <w:sz w:val="24"/>
                <w:highlight w:val="none"/>
              </w:rPr>
              <w:t>150</w:t>
            </w:r>
          </w:p>
        </w:tc>
      </w:tr>
      <w:tr w14:paraId="33398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126B4791">
            <w:pPr>
              <w:jc w:val="center"/>
              <w:rPr>
                <w:rFonts w:ascii="Times New Roman" w:hAnsi="Times New Roman" w:cs="Times New Roman"/>
                <w:sz w:val="24"/>
                <w:highlight w:val="none"/>
              </w:rPr>
            </w:pPr>
            <w:r>
              <w:rPr>
                <w:rFonts w:ascii="Times New Roman" w:hAnsi="Times New Roman" w:cs="Times New Roman"/>
                <w:sz w:val="24"/>
                <w:highlight w:val="none"/>
              </w:rPr>
              <w:t>石棉水泥管</w:t>
            </w:r>
          </w:p>
        </w:tc>
        <w:tc>
          <w:tcPr>
            <w:tcW w:w="4261" w:type="dxa"/>
            <w:vAlign w:val="center"/>
          </w:tcPr>
          <w:p w14:paraId="04930516">
            <w:pPr>
              <w:jc w:val="center"/>
              <w:rPr>
                <w:rFonts w:ascii="Times New Roman" w:hAnsi="Times New Roman" w:cs="Times New Roman"/>
                <w:sz w:val="24"/>
                <w:highlight w:val="none"/>
              </w:rPr>
            </w:pPr>
            <w:r>
              <w:rPr>
                <w:rFonts w:ascii="Times New Roman" w:hAnsi="Times New Roman" w:cs="Times New Roman"/>
                <w:sz w:val="24"/>
                <w:highlight w:val="none"/>
              </w:rPr>
              <w:t>120～140</w:t>
            </w:r>
          </w:p>
        </w:tc>
      </w:tr>
      <w:tr w14:paraId="45E4F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0FA540D7">
            <w:pPr>
              <w:jc w:val="center"/>
              <w:rPr>
                <w:rFonts w:ascii="Times New Roman" w:hAnsi="Times New Roman" w:cs="Times New Roman"/>
                <w:sz w:val="24"/>
                <w:highlight w:val="none"/>
              </w:rPr>
            </w:pPr>
            <w:r>
              <w:rPr>
                <w:rFonts w:ascii="Times New Roman" w:hAnsi="Times New Roman" w:cs="Times New Roman"/>
                <w:sz w:val="24"/>
                <w:highlight w:val="none"/>
              </w:rPr>
              <w:t>混凝土管、焊接钢管、木管</w:t>
            </w:r>
          </w:p>
        </w:tc>
        <w:tc>
          <w:tcPr>
            <w:tcW w:w="4261" w:type="dxa"/>
            <w:vAlign w:val="center"/>
          </w:tcPr>
          <w:p w14:paraId="5407D100">
            <w:pPr>
              <w:jc w:val="center"/>
              <w:rPr>
                <w:rFonts w:ascii="Times New Roman" w:hAnsi="Times New Roman" w:cs="Times New Roman"/>
                <w:sz w:val="24"/>
                <w:highlight w:val="none"/>
              </w:rPr>
            </w:pPr>
            <w:r>
              <w:rPr>
                <w:rFonts w:ascii="Times New Roman" w:hAnsi="Times New Roman" w:cs="Times New Roman"/>
                <w:sz w:val="24"/>
                <w:highlight w:val="none"/>
              </w:rPr>
              <w:t>120</w:t>
            </w:r>
          </w:p>
        </w:tc>
      </w:tr>
      <w:tr w14:paraId="04DD3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38121CCC">
            <w:pPr>
              <w:jc w:val="center"/>
              <w:rPr>
                <w:rFonts w:ascii="Times New Roman" w:hAnsi="Times New Roman" w:cs="Times New Roman"/>
                <w:sz w:val="24"/>
                <w:highlight w:val="none"/>
              </w:rPr>
            </w:pPr>
            <w:r>
              <w:rPr>
                <w:rFonts w:ascii="Times New Roman" w:hAnsi="Times New Roman" w:cs="Times New Roman"/>
                <w:sz w:val="24"/>
                <w:highlight w:val="none"/>
              </w:rPr>
              <w:t>水泥衬里管</w:t>
            </w:r>
          </w:p>
        </w:tc>
        <w:tc>
          <w:tcPr>
            <w:tcW w:w="4261" w:type="dxa"/>
            <w:vAlign w:val="center"/>
          </w:tcPr>
          <w:p w14:paraId="3F72E57B">
            <w:pPr>
              <w:jc w:val="center"/>
              <w:rPr>
                <w:rFonts w:ascii="Times New Roman" w:hAnsi="Times New Roman" w:cs="Times New Roman"/>
                <w:sz w:val="24"/>
                <w:highlight w:val="none"/>
              </w:rPr>
            </w:pPr>
            <w:r>
              <w:rPr>
                <w:rFonts w:ascii="Times New Roman" w:hAnsi="Times New Roman" w:cs="Times New Roman"/>
                <w:sz w:val="24"/>
                <w:highlight w:val="none"/>
              </w:rPr>
              <w:t>120</w:t>
            </w:r>
          </w:p>
        </w:tc>
      </w:tr>
      <w:tr w14:paraId="2B6A0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6CDA91B9">
            <w:pPr>
              <w:jc w:val="center"/>
              <w:rPr>
                <w:rFonts w:ascii="Times New Roman" w:hAnsi="Times New Roman" w:cs="Times New Roman"/>
                <w:sz w:val="24"/>
                <w:highlight w:val="none"/>
              </w:rPr>
            </w:pPr>
            <w:r>
              <w:rPr>
                <w:rFonts w:ascii="Times New Roman" w:hAnsi="Times New Roman" w:cs="Times New Roman"/>
                <w:sz w:val="24"/>
                <w:highlight w:val="none"/>
              </w:rPr>
              <w:t>陶土管</w:t>
            </w:r>
          </w:p>
        </w:tc>
        <w:tc>
          <w:tcPr>
            <w:tcW w:w="4261" w:type="dxa"/>
            <w:vAlign w:val="center"/>
          </w:tcPr>
          <w:p w14:paraId="3D163A29">
            <w:pPr>
              <w:jc w:val="center"/>
              <w:rPr>
                <w:rFonts w:ascii="Times New Roman" w:hAnsi="Times New Roman" w:cs="Times New Roman"/>
                <w:sz w:val="24"/>
                <w:highlight w:val="none"/>
              </w:rPr>
            </w:pPr>
            <w:r>
              <w:rPr>
                <w:rFonts w:ascii="Times New Roman" w:hAnsi="Times New Roman" w:cs="Times New Roman"/>
                <w:sz w:val="24"/>
                <w:highlight w:val="none"/>
              </w:rPr>
              <w:t>120</w:t>
            </w:r>
          </w:p>
        </w:tc>
      </w:tr>
      <w:tr w14:paraId="408F7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4209C0B4">
            <w:pPr>
              <w:jc w:val="center"/>
              <w:rPr>
                <w:rFonts w:ascii="Times New Roman" w:hAnsi="Times New Roman" w:cs="Times New Roman"/>
                <w:sz w:val="24"/>
                <w:highlight w:val="none"/>
              </w:rPr>
            </w:pPr>
            <w:r>
              <w:rPr>
                <w:rFonts w:ascii="Times New Roman" w:hAnsi="Times New Roman" w:cs="Times New Roman"/>
                <w:sz w:val="24"/>
                <w:highlight w:val="none"/>
              </w:rPr>
              <w:t>新铸铁管、涂沥青或水泥的铸铁管</w:t>
            </w:r>
          </w:p>
        </w:tc>
        <w:tc>
          <w:tcPr>
            <w:tcW w:w="4261" w:type="dxa"/>
            <w:vAlign w:val="center"/>
          </w:tcPr>
          <w:p w14:paraId="400FE5CB">
            <w:pPr>
              <w:jc w:val="center"/>
              <w:rPr>
                <w:rFonts w:ascii="Times New Roman" w:hAnsi="Times New Roman" w:cs="Times New Roman"/>
                <w:sz w:val="24"/>
                <w:highlight w:val="none"/>
              </w:rPr>
            </w:pPr>
            <w:r>
              <w:rPr>
                <w:rFonts w:ascii="Times New Roman" w:hAnsi="Times New Roman" w:cs="Times New Roman"/>
                <w:sz w:val="24"/>
                <w:highlight w:val="none"/>
              </w:rPr>
              <w:t>130</w:t>
            </w:r>
          </w:p>
        </w:tc>
      </w:tr>
      <w:tr w14:paraId="64FAD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16CA7DF3">
            <w:pPr>
              <w:jc w:val="center"/>
              <w:rPr>
                <w:rFonts w:ascii="Times New Roman" w:hAnsi="Times New Roman" w:cs="Times New Roman"/>
                <w:sz w:val="24"/>
                <w:highlight w:val="none"/>
              </w:rPr>
            </w:pPr>
            <w:r>
              <w:rPr>
                <w:rFonts w:ascii="Times New Roman" w:hAnsi="Times New Roman" w:cs="Times New Roman"/>
                <w:sz w:val="24"/>
                <w:highlight w:val="none"/>
              </w:rPr>
              <w:t>使用 5 年的铸铁管、焊接钢管</w:t>
            </w:r>
          </w:p>
        </w:tc>
        <w:tc>
          <w:tcPr>
            <w:tcW w:w="4261" w:type="dxa"/>
            <w:vAlign w:val="center"/>
          </w:tcPr>
          <w:p w14:paraId="534EC6BA">
            <w:pPr>
              <w:jc w:val="center"/>
              <w:rPr>
                <w:rFonts w:ascii="Times New Roman" w:hAnsi="Times New Roman" w:cs="Times New Roman"/>
                <w:sz w:val="24"/>
                <w:highlight w:val="none"/>
              </w:rPr>
            </w:pPr>
            <w:r>
              <w:rPr>
                <w:rFonts w:ascii="Times New Roman" w:hAnsi="Times New Roman" w:cs="Times New Roman"/>
                <w:sz w:val="24"/>
                <w:highlight w:val="none"/>
              </w:rPr>
              <w:t>120</w:t>
            </w:r>
          </w:p>
        </w:tc>
      </w:tr>
      <w:tr w14:paraId="78102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2AFC982B">
            <w:pPr>
              <w:jc w:val="center"/>
              <w:rPr>
                <w:rFonts w:ascii="Times New Roman" w:hAnsi="Times New Roman" w:cs="Times New Roman"/>
                <w:sz w:val="24"/>
                <w:highlight w:val="none"/>
              </w:rPr>
            </w:pPr>
            <w:r>
              <w:rPr>
                <w:rFonts w:ascii="Times New Roman" w:hAnsi="Times New Roman" w:cs="Times New Roman"/>
                <w:sz w:val="24"/>
                <w:highlight w:val="none"/>
              </w:rPr>
              <w:t>使用 10 年的铸铁管、焊接钢管</w:t>
            </w:r>
          </w:p>
        </w:tc>
        <w:tc>
          <w:tcPr>
            <w:tcW w:w="4261" w:type="dxa"/>
            <w:vAlign w:val="center"/>
          </w:tcPr>
          <w:p w14:paraId="3B2FBA09">
            <w:pPr>
              <w:jc w:val="center"/>
              <w:rPr>
                <w:rFonts w:ascii="Times New Roman" w:hAnsi="Times New Roman" w:cs="Times New Roman"/>
                <w:sz w:val="24"/>
                <w:highlight w:val="none"/>
              </w:rPr>
            </w:pPr>
            <w:r>
              <w:rPr>
                <w:rFonts w:ascii="Times New Roman" w:hAnsi="Times New Roman" w:cs="Times New Roman"/>
                <w:sz w:val="24"/>
                <w:highlight w:val="none"/>
              </w:rPr>
              <w:t>110</w:t>
            </w:r>
          </w:p>
        </w:tc>
      </w:tr>
      <w:tr w14:paraId="22D04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488C3CE9">
            <w:pPr>
              <w:jc w:val="center"/>
              <w:rPr>
                <w:rFonts w:ascii="Times New Roman" w:hAnsi="Times New Roman" w:cs="Times New Roman"/>
                <w:sz w:val="24"/>
                <w:highlight w:val="none"/>
              </w:rPr>
            </w:pPr>
            <w:r>
              <w:rPr>
                <w:rFonts w:ascii="Times New Roman" w:hAnsi="Times New Roman" w:cs="Times New Roman"/>
                <w:sz w:val="24"/>
                <w:highlight w:val="none"/>
              </w:rPr>
              <w:t>使用 20 年的铸铁管、焊接钢管</w:t>
            </w:r>
          </w:p>
        </w:tc>
        <w:tc>
          <w:tcPr>
            <w:tcW w:w="4261" w:type="dxa"/>
            <w:vAlign w:val="center"/>
          </w:tcPr>
          <w:p w14:paraId="75DB6DF7">
            <w:pPr>
              <w:jc w:val="center"/>
              <w:rPr>
                <w:rFonts w:ascii="Times New Roman" w:hAnsi="Times New Roman" w:cs="Times New Roman"/>
                <w:sz w:val="24"/>
                <w:highlight w:val="none"/>
              </w:rPr>
            </w:pPr>
            <w:r>
              <w:rPr>
                <w:rFonts w:ascii="Times New Roman" w:hAnsi="Times New Roman" w:cs="Times New Roman"/>
                <w:sz w:val="24"/>
                <w:highlight w:val="none"/>
              </w:rPr>
              <w:t>90-100</w:t>
            </w:r>
          </w:p>
        </w:tc>
      </w:tr>
      <w:tr w14:paraId="04A5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 w:hRule="atLeast"/>
        </w:trPr>
        <w:tc>
          <w:tcPr>
            <w:tcW w:w="4261" w:type="dxa"/>
            <w:vAlign w:val="center"/>
          </w:tcPr>
          <w:p w14:paraId="14FB20A4">
            <w:pPr>
              <w:jc w:val="center"/>
              <w:rPr>
                <w:rFonts w:ascii="Times New Roman" w:hAnsi="Times New Roman" w:cs="Times New Roman"/>
                <w:sz w:val="24"/>
                <w:highlight w:val="none"/>
              </w:rPr>
            </w:pPr>
            <w:r>
              <w:rPr>
                <w:rFonts w:ascii="Times New Roman" w:hAnsi="Times New Roman" w:cs="Times New Roman"/>
                <w:sz w:val="24"/>
                <w:highlight w:val="none"/>
              </w:rPr>
              <w:t>使用 30 年的铸铁管、焊接钢管</w:t>
            </w:r>
          </w:p>
        </w:tc>
        <w:tc>
          <w:tcPr>
            <w:tcW w:w="4261" w:type="dxa"/>
            <w:vAlign w:val="center"/>
          </w:tcPr>
          <w:p w14:paraId="6327C949">
            <w:pPr>
              <w:jc w:val="center"/>
              <w:rPr>
                <w:rFonts w:ascii="Times New Roman" w:hAnsi="Times New Roman" w:cs="Times New Roman"/>
                <w:sz w:val="24"/>
                <w:highlight w:val="none"/>
              </w:rPr>
            </w:pPr>
            <w:r>
              <w:rPr>
                <w:rFonts w:ascii="Times New Roman" w:hAnsi="Times New Roman" w:cs="Times New Roman"/>
                <w:sz w:val="24"/>
                <w:highlight w:val="none"/>
              </w:rPr>
              <w:t>75-90</w:t>
            </w:r>
          </w:p>
        </w:tc>
      </w:tr>
    </w:tbl>
    <w:p w14:paraId="7B40D4A8">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保证管网模型水量平衡基础上进行管网平差计算，模型校核后精度满足DB31/T800-2014《城镇供水管网模型建设技术导则》的精度要求，管网模型压力模拟误差应控制在98%压力监测点在±2m范围内，80%压力监测点在±1m范围内，出厂流量模拟值误差控制在±5%范围内，管网中大流量监测点误差控制在±10%范围内。</w:t>
      </w:r>
    </w:p>
    <w:p w14:paraId="04D5DA1B">
      <w:pPr>
        <w:widowControl w:val="0"/>
        <w:numPr>
          <w:ilvl w:val="0"/>
          <w:numId w:val="8"/>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水质模型的建立及校核</w:t>
      </w:r>
    </w:p>
    <w:p w14:paraId="0C28FAC7">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在水力模型的基础上，建立水质模型，从水龄及余氯浓度两个方面校核水质模型，保证供水管网水质模型（C/S）系统正常运行，满足使用要求。</w:t>
      </w:r>
    </w:p>
    <w:p w14:paraId="01A258BB">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城市供水管网水质模型主要是在水力模型的基础上研究供水管网系统水龄的变化和余氯的衰减过程。给水管网系统的水力条件决定了水从水源到用户的流动方向，不同水源的混合，污染物的稀释，水在管网和储水设备中的传播时间和滞留时间。水质模型校核过程分为：供水水质模型参数的校核和供水水质模型采样点的校核。</w:t>
      </w:r>
    </w:p>
    <w:p w14:paraId="40B374C8">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(1)供水水质模型参数的校验</w:t>
      </w:r>
    </w:p>
    <w:p w14:paraId="424377B8">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影响管网水质模型准确性的参数主要有：管道内径，管道粗糙系数，节点流量，管道中主体余氯衰减系数和管壁余氯衰减系数。其中， 管道内径和摩阻系数一般是通过管网水力模型校正来确定；管道中主体水余氯衰减系数主要是与水中的有机物含量及其与消毒剂的反应所决定的，该参数值可以通过离线方式在实验室中用烧杯实验进行测试出来。</w:t>
      </w:r>
    </w:p>
    <w:p w14:paraId="5351AA68">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(2)采样点布置校验</w:t>
      </w:r>
    </w:p>
    <w:p w14:paraId="55E77E85">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建立准确的给水管网水质模型，需根据管网系统有效的现场监测数据，进行管网水质模拟推出管网其他各处的水质情况，评估给水管网系统的水质状况。</w:t>
      </w:r>
    </w:p>
    <w:p w14:paraId="643720EE">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为了建立准确可靠的管网水质模型，需根据有效的现场监测点采集数据用来进行水质模型的校正研究。给水管网水质模型校正主要包括：</w:t>
      </w:r>
    </w:p>
    <w:p w14:paraId="4427C15F">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① 在实际管网中安装永久的监测设备，包括管网监测设备，在水池和管网控制点上的监测仪表；</w:t>
      </w:r>
    </w:p>
    <w:p w14:paraId="607EB822">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② 保留管网水力和水质的历史数据的记录，如用户水量数据， 有益于评估用户水量变化趋势；</w:t>
      </w:r>
    </w:p>
    <w:p w14:paraId="346BE3B5">
      <w:pPr>
        <w:widowControl w:val="0"/>
        <w:numPr>
          <w:ilvl w:val="0"/>
          <w:numId w:val="0"/>
        </w:numPr>
        <w:ind w:left="0" w:leftChars="0"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③ 优化选择监测点，从现场的策略点或临时安装的监测设备中获取实测数据。</w:t>
      </w:r>
    </w:p>
    <w:p w14:paraId="6FBAA5B4">
      <w:pPr>
        <w:widowControl w:val="0"/>
        <w:numPr>
          <w:ilvl w:val="0"/>
          <w:numId w:val="0"/>
        </w:num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水质模型校核后，管网余氯监测值与模拟值的误差满足DB31/T800-2014《城镇供水管网模型建设技术导则》的精度要求，余氯（或总氯）浓度模拟误差控制在监测点浓度的±10%范围内。</w:t>
      </w:r>
    </w:p>
    <w:p w14:paraId="6F9A09CA">
      <w:pPr>
        <w:numPr>
          <w:ilvl w:val="0"/>
          <w:numId w:val="7"/>
        </w:numPr>
        <w:ind w:left="0" w:leftChars="0" w:firstLine="0" w:firstLineChars="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BS系统更新维护具体内容</w:t>
      </w:r>
    </w:p>
    <w:p w14:paraId="1184C380">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数据库更新</w:t>
      </w:r>
    </w:p>
    <w:p w14:paraId="0F4D9FF6">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对B/S数据库进行更新。把C/S端更新后的水力模型的所有信息，同步更新到B/S系统的数据库中；同时更新各数据表的索引，以提高数据库的查询效率。另一方面，更新管线、阀门、消火栓等管网组件的信息。</w:t>
      </w:r>
    </w:p>
    <w:p w14:paraId="385CF13B">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数据接口程序更新</w:t>
      </w:r>
    </w:p>
    <w:p w14:paraId="20E8F0BB">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根据现在各类监测点的数据接口所提供数据的类型、取数方式、数据更新频率、数据单位等情况，设计开发接口程序对数据接口中的实时数据进行提取并转存到系统数据库中，以方便在系统中实时显示和计算统计。</w:t>
      </w:r>
    </w:p>
    <w:p w14:paraId="623F9A85">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检查各类采集数据是否完整</w:t>
      </w:r>
    </w:p>
    <w:p w14:paraId="7D6E503D">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采集数据包括压力、流量、水质、水厂数据等；如果流量数据产生缺少数据的情况，需要补齐，以保证水量预测的准确性。</w:t>
      </w:r>
    </w:p>
    <w:p w14:paraId="7B2BFC02">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检查网络状态是否正常</w:t>
      </w:r>
    </w:p>
    <w:p w14:paraId="47B665AE">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检查web服务器、数据库服务器、GIS服务器及数据中心服务器它们之间的连通是否正常。</w:t>
      </w:r>
    </w:p>
    <w:p w14:paraId="6148F4D5">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查看服务器状态是否正常</w:t>
      </w:r>
    </w:p>
    <w:p w14:paraId="61747B3B">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查看服务器性能，观察CPU和内存使用状况。查看是否有CPU和内存占用过高等异常情况。</w:t>
      </w:r>
    </w:p>
    <w:p w14:paraId="6BADCCD4">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检查当前系统进程情况</w:t>
      </w:r>
    </w:p>
    <w:p w14:paraId="11A23109">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查找有无可疑的应用程序或后台进程在运行。</w:t>
      </w:r>
    </w:p>
    <w:p w14:paraId="45E26123">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检查系统帐号</w:t>
      </w:r>
    </w:p>
    <w:p w14:paraId="38F4C4B0">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检查是否有克隆帐号。</w:t>
      </w:r>
    </w:p>
    <w:p w14:paraId="7F254A03">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查看当前端口开放情况</w:t>
      </w:r>
    </w:p>
    <w:p w14:paraId="6E2EC2BB">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查看当前的端口连接情况，尤其是注意与外部连接着的端口情况，看是否有未经允许的端口与外界在通信。查看当前运行的程序，如果有不明程序，记录下该程序的位置，并进行安全处理。</w:t>
      </w:r>
    </w:p>
    <w:p w14:paraId="28B68A03">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检查系统服务</w:t>
      </w:r>
    </w:p>
    <w:p w14:paraId="0EB1AB04">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检查处于已启动状态的服务，查看是否有新加的未知服务并确定服务的用途。对于不清楚的服务和执行文件进行安全处理。</w:t>
      </w:r>
    </w:p>
    <w:p w14:paraId="5BE00D16">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查看相关日志</w:t>
      </w:r>
    </w:p>
    <w:p w14:paraId="7CBF32AC">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检查系统中的相关日志记录。对于非正常日志记录进行安全处理。</w:t>
      </w:r>
    </w:p>
    <w:p w14:paraId="3C06E35E">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检查系统文件是否完整</w:t>
      </w:r>
    </w:p>
    <w:p w14:paraId="3F705A1F">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对系统文件做相关检查。检查相关系统文件是否被替换或系统中是否被安装了木马后门等恶意程序。必要时可运行一次杀毒程序对系统盘进行一次扫描处理。</w:t>
      </w:r>
    </w:p>
    <w:p w14:paraId="60FB30A3">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检查安全策略是否更改</w:t>
      </w:r>
    </w:p>
    <w:p w14:paraId="516D72CA">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查看使用的IP安全策略是否发生更改。</w:t>
      </w:r>
    </w:p>
    <w:p w14:paraId="7AF926B6">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检查目录权限</w:t>
      </w:r>
    </w:p>
    <w:p w14:paraId="1976B709">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重点查看系统目录和重要的应用程序权限是否被更改。</w:t>
      </w:r>
    </w:p>
    <w:p w14:paraId="0A0D27E5">
      <w:pPr>
        <w:pStyle w:val="2"/>
        <w:numPr>
          <w:ilvl w:val="0"/>
          <w:numId w:val="9"/>
        </w:numPr>
        <w:spacing w:after="0"/>
        <w:ind w:left="0" w:leftChars="0" w:firstLine="0" w:firstLineChars="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检查启动项</w:t>
      </w:r>
    </w:p>
    <w:p w14:paraId="5A113E78">
      <w:pPr>
        <w:pStyle w:val="2"/>
        <w:spacing w:after="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检查当前的开机自启动程序。</w:t>
      </w:r>
    </w:p>
    <w:p w14:paraId="78B35622">
      <w:pPr>
        <w:pStyle w:val="21"/>
        <w:numPr>
          <w:ilvl w:val="-1"/>
          <w:numId w:val="0"/>
        </w:numPr>
        <w:spacing w:line="480" w:lineRule="exact"/>
        <w:ind w:left="0" w:leftChars="0" w:firstLine="0" w:firstLineChars="0"/>
        <w:contextualSpacing/>
        <w:rPr>
          <w:rFonts w:hint="eastAsia"/>
          <w:color w:val="auto"/>
          <w:highlight w:val="none"/>
          <w:lang w:val="en-US" w:eastAsia="zh-CN"/>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_GB2312">
    <w:altName w:val="方正仿宋_GB18030"/>
    <w:panose1 w:val="02010609030101010101"/>
    <w:charset w:val="86"/>
    <w:family w:val="auto"/>
    <w:pitch w:val="default"/>
    <w:sig w:usb0="00000000" w:usb1="0000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等线">
    <w:altName w:val="Noto Sans CJK SC"/>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GWZT-EN">
    <w:panose1 w:val="020204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EF933"/>
    <w:multiLevelType w:val="multilevel"/>
    <w:tmpl w:val="8D9EF933"/>
    <w:lvl w:ilvl="0" w:tentative="0">
      <w:start w:val="1"/>
      <w:numFmt w:val="decimal"/>
      <w:lvlText w:val="%1."/>
      <w:lvlJc w:val="left"/>
      <w:pPr>
        <w:ind w:left="845" w:hanging="420"/>
      </w:pPr>
      <w:rPr>
        <w:rFonts w:hint="eastAsia"/>
        <w:spacing w:val="-20"/>
        <w:position w:val="0"/>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
    <w:nsid w:val="9B1E0F14"/>
    <w:multiLevelType w:val="singleLevel"/>
    <w:tmpl w:val="9B1E0F14"/>
    <w:lvl w:ilvl="0" w:tentative="0">
      <w:start w:val="1"/>
      <w:numFmt w:val="chineseCounting"/>
      <w:suff w:val="nothing"/>
      <w:lvlText w:val="（%1）"/>
      <w:lvlJc w:val="left"/>
      <w:rPr>
        <w:rFonts w:hint="eastAsia"/>
      </w:rPr>
    </w:lvl>
  </w:abstractNum>
  <w:abstractNum w:abstractNumId="2">
    <w:nsid w:val="ABBA95E9"/>
    <w:multiLevelType w:val="singleLevel"/>
    <w:tmpl w:val="ABBA95E9"/>
    <w:lvl w:ilvl="0" w:tentative="0">
      <w:start w:val="1"/>
      <w:numFmt w:val="decimal"/>
      <w:suff w:val="nothing"/>
      <w:lvlText w:val="%1．"/>
      <w:lvlJc w:val="left"/>
      <w:pPr>
        <w:ind w:left="0" w:firstLine="400"/>
      </w:pPr>
      <w:rPr>
        <w:rFonts w:hint="default"/>
      </w:rPr>
    </w:lvl>
  </w:abstractNum>
  <w:abstractNum w:abstractNumId="3">
    <w:nsid w:val="D84999B9"/>
    <w:multiLevelType w:val="singleLevel"/>
    <w:tmpl w:val="D84999B9"/>
    <w:lvl w:ilvl="0" w:tentative="0">
      <w:start w:val="1"/>
      <w:numFmt w:val="decimal"/>
      <w:lvlText w:val="(%1)"/>
      <w:lvlJc w:val="left"/>
      <w:pPr>
        <w:ind w:left="425" w:hanging="425"/>
      </w:pPr>
      <w:rPr>
        <w:rFonts w:hint="default"/>
      </w:rPr>
    </w:lvl>
  </w:abstractNum>
  <w:abstractNum w:abstractNumId="4">
    <w:nsid w:val="FFF6EBDC"/>
    <w:multiLevelType w:val="singleLevel"/>
    <w:tmpl w:val="FFF6EBDC"/>
    <w:lvl w:ilvl="0" w:tentative="0">
      <w:start w:val="1"/>
      <w:numFmt w:val="decimal"/>
      <w:suff w:val="nothing"/>
      <w:lvlText w:val="%1．"/>
      <w:lvlJc w:val="left"/>
      <w:pPr>
        <w:ind w:left="0" w:firstLine="400"/>
      </w:pPr>
      <w:rPr>
        <w:rFonts w:hint="default"/>
      </w:rPr>
    </w:lvl>
  </w:abstractNum>
  <w:abstractNum w:abstractNumId="5">
    <w:nsid w:val="074F0ED9"/>
    <w:multiLevelType w:val="multilevel"/>
    <w:tmpl w:val="074F0ED9"/>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0EA2DBFD"/>
    <w:multiLevelType w:val="singleLevel"/>
    <w:tmpl w:val="0EA2DBFD"/>
    <w:lvl w:ilvl="0" w:tentative="0">
      <w:start w:val="1"/>
      <w:numFmt w:val="decimal"/>
      <w:lvlText w:val="%1."/>
      <w:lvlJc w:val="left"/>
      <w:pPr>
        <w:ind w:left="425" w:hanging="425"/>
      </w:pPr>
      <w:rPr>
        <w:rFonts w:hint="default"/>
      </w:rPr>
    </w:lvl>
  </w:abstractNum>
  <w:abstractNum w:abstractNumId="7">
    <w:nsid w:val="1B662B10"/>
    <w:multiLevelType w:val="singleLevel"/>
    <w:tmpl w:val="1B662B10"/>
    <w:lvl w:ilvl="0" w:tentative="0">
      <w:start w:val="1"/>
      <w:numFmt w:val="decimal"/>
      <w:lvlText w:val="%1."/>
      <w:lvlJc w:val="left"/>
      <w:pPr>
        <w:ind w:left="425" w:hanging="425"/>
      </w:pPr>
      <w:rPr>
        <w:rFonts w:hint="default"/>
      </w:rPr>
    </w:lvl>
  </w:abstractNum>
  <w:abstractNum w:abstractNumId="8">
    <w:nsid w:val="4B2F1117"/>
    <w:multiLevelType w:val="multilevel"/>
    <w:tmpl w:val="4B2F1117"/>
    <w:lvl w:ilvl="0" w:tentative="0">
      <w:start w:val="1"/>
      <w:numFmt w:val="decimal"/>
      <w:lvlText w:val="%1."/>
      <w:lvlJc w:val="left"/>
      <w:pPr>
        <w:ind w:left="845" w:hanging="420"/>
      </w:pPr>
      <w:rPr>
        <w:rFonts w:hint="eastAsia" w:ascii="宋体" w:hAnsi="宋体" w:eastAsia="宋体" w:cs="宋体"/>
        <w:spacing w:val="-20"/>
      </w:rPr>
    </w:lvl>
    <w:lvl w:ilvl="1" w:tentative="0">
      <w:start w:val="1"/>
      <w:numFmt w:val="lowerLetter"/>
      <w:lvlText w:val="%2)"/>
      <w:lvlJc w:val="left"/>
      <w:pPr>
        <w:ind w:left="1265" w:hanging="420"/>
      </w:pPr>
      <w:rPr>
        <w:rFonts w:hint="default" w:ascii="Times New Roman" w:hAnsi="Times New Roman" w:cs="Times New Roman"/>
      </w:rPr>
    </w:lvl>
    <w:lvl w:ilvl="2" w:tentative="0">
      <w:start w:val="1"/>
      <w:numFmt w:val="lowerRoman"/>
      <w:lvlText w:val="%3."/>
      <w:lvlJc w:val="right"/>
      <w:pPr>
        <w:ind w:left="1685" w:hanging="420"/>
      </w:pPr>
      <w:rPr>
        <w:rFonts w:hint="default" w:ascii="Times New Roman" w:hAnsi="Times New Roman" w:cs="Times New Roman"/>
      </w:rPr>
    </w:lvl>
    <w:lvl w:ilvl="3" w:tentative="0">
      <w:start w:val="1"/>
      <w:numFmt w:val="decimal"/>
      <w:lvlText w:val="%4."/>
      <w:lvlJc w:val="left"/>
      <w:pPr>
        <w:ind w:left="2105" w:hanging="420"/>
      </w:pPr>
      <w:rPr>
        <w:rFonts w:hint="default" w:ascii="Times New Roman" w:hAnsi="Times New Roman" w:cs="Times New Roman"/>
      </w:rPr>
    </w:lvl>
    <w:lvl w:ilvl="4" w:tentative="0">
      <w:start w:val="1"/>
      <w:numFmt w:val="lowerLetter"/>
      <w:lvlText w:val="%5)"/>
      <w:lvlJc w:val="left"/>
      <w:pPr>
        <w:ind w:left="2525" w:hanging="420"/>
      </w:pPr>
      <w:rPr>
        <w:rFonts w:hint="default" w:ascii="Times New Roman" w:hAnsi="Times New Roman" w:cs="Times New Roman"/>
      </w:rPr>
    </w:lvl>
    <w:lvl w:ilvl="5" w:tentative="0">
      <w:start w:val="1"/>
      <w:numFmt w:val="lowerRoman"/>
      <w:lvlText w:val="%6."/>
      <w:lvlJc w:val="right"/>
      <w:pPr>
        <w:ind w:left="2945" w:hanging="420"/>
      </w:pPr>
      <w:rPr>
        <w:rFonts w:hint="default" w:ascii="Times New Roman" w:hAnsi="Times New Roman" w:cs="Times New Roman"/>
      </w:rPr>
    </w:lvl>
    <w:lvl w:ilvl="6" w:tentative="0">
      <w:start w:val="1"/>
      <w:numFmt w:val="decimal"/>
      <w:lvlText w:val="%7."/>
      <w:lvlJc w:val="left"/>
      <w:pPr>
        <w:ind w:left="3365" w:hanging="420"/>
      </w:pPr>
      <w:rPr>
        <w:rFonts w:hint="default" w:ascii="Times New Roman" w:hAnsi="Times New Roman" w:cs="Times New Roman"/>
      </w:rPr>
    </w:lvl>
    <w:lvl w:ilvl="7" w:tentative="0">
      <w:start w:val="1"/>
      <w:numFmt w:val="lowerLetter"/>
      <w:lvlText w:val="%8)"/>
      <w:lvlJc w:val="left"/>
      <w:pPr>
        <w:ind w:left="3785" w:hanging="420"/>
      </w:pPr>
      <w:rPr>
        <w:rFonts w:hint="default" w:ascii="Times New Roman" w:hAnsi="Times New Roman" w:cs="Times New Roman"/>
      </w:rPr>
    </w:lvl>
    <w:lvl w:ilvl="8" w:tentative="0">
      <w:start w:val="1"/>
      <w:numFmt w:val="lowerRoman"/>
      <w:lvlText w:val="%9."/>
      <w:lvlJc w:val="right"/>
      <w:pPr>
        <w:ind w:left="4205" w:hanging="420"/>
      </w:pPr>
      <w:rPr>
        <w:rFonts w:hint="default" w:ascii="Times New Roman" w:hAnsi="Times New Roman" w:cs="Times New Roman"/>
      </w:rPr>
    </w:lvl>
  </w:abstractNum>
  <w:num w:numId="1">
    <w:abstractNumId w:val="5"/>
  </w:num>
  <w:num w:numId="2">
    <w:abstractNumId w:val="8"/>
  </w:num>
  <w:num w:numId="3">
    <w:abstractNumId w:val="7"/>
  </w:num>
  <w:num w:numId="4">
    <w:abstractNumId w:val="3"/>
  </w:num>
  <w:num w:numId="5">
    <w:abstractNumId w:val="6"/>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3OGQzZDJmOWY1MWRhNWQzMjE1MjM5OTA0MTRmZGMifQ=="/>
  </w:docVars>
  <w:rsids>
    <w:rsidRoot w:val="00172A27"/>
    <w:rsid w:val="00000FCF"/>
    <w:rsid w:val="000040C8"/>
    <w:rsid w:val="00005FAD"/>
    <w:rsid w:val="00024F33"/>
    <w:rsid w:val="000313A3"/>
    <w:rsid w:val="000449A4"/>
    <w:rsid w:val="00051452"/>
    <w:rsid w:val="000B13B5"/>
    <w:rsid w:val="000C0A8E"/>
    <w:rsid w:val="000C6B6E"/>
    <w:rsid w:val="000D1905"/>
    <w:rsid w:val="000F75CB"/>
    <w:rsid w:val="00110089"/>
    <w:rsid w:val="0011216A"/>
    <w:rsid w:val="001405AF"/>
    <w:rsid w:val="001439A2"/>
    <w:rsid w:val="00143DDC"/>
    <w:rsid w:val="00172A27"/>
    <w:rsid w:val="00175A4B"/>
    <w:rsid w:val="00187D0A"/>
    <w:rsid w:val="00197887"/>
    <w:rsid w:val="001B760F"/>
    <w:rsid w:val="001D2057"/>
    <w:rsid w:val="001F0A89"/>
    <w:rsid w:val="002013F3"/>
    <w:rsid w:val="0020411C"/>
    <w:rsid w:val="00205297"/>
    <w:rsid w:val="00206E42"/>
    <w:rsid w:val="00210403"/>
    <w:rsid w:val="00210426"/>
    <w:rsid w:val="002216DD"/>
    <w:rsid w:val="00222A39"/>
    <w:rsid w:val="00232679"/>
    <w:rsid w:val="00235542"/>
    <w:rsid w:val="002412A6"/>
    <w:rsid w:val="002756BE"/>
    <w:rsid w:val="00294013"/>
    <w:rsid w:val="002A5CB0"/>
    <w:rsid w:val="002C3106"/>
    <w:rsid w:val="002F1593"/>
    <w:rsid w:val="002F2E38"/>
    <w:rsid w:val="00303AF7"/>
    <w:rsid w:val="00315DC0"/>
    <w:rsid w:val="00322A87"/>
    <w:rsid w:val="00323114"/>
    <w:rsid w:val="00323505"/>
    <w:rsid w:val="003329CB"/>
    <w:rsid w:val="00335B1D"/>
    <w:rsid w:val="00337305"/>
    <w:rsid w:val="003536DA"/>
    <w:rsid w:val="00370723"/>
    <w:rsid w:val="003761C2"/>
    <w:rsid w:val="003977BA"/>
    <w:rsid w:val="003A3677"/>
    <w:rsid w:val="003C37CA"/>
    <w:rsid w:val="003E3598"/>
    <w:rsid w:val="00403C18"/>
    <w:rsid w:val="00411F45"/>
    <w:rsid w:val="004452A7"/>
    <w:rsid w:val="0045170B"/>
    <w:rsid w:val="00460842"/>
    <w:rsid w:val="00465421"/>
    <w:rsid w:val="004814AF"/>
    <w:rsid w:val="004A1995"/>
    <w:rsid w:val="004A2292"/>
    <w:rsid w:val="004A7FF3"/>
    <w:rsid w:val="004B06D2"/>
    <w:rsid w:val="004B2F53"/>
    <w:rsid w:val="004B3B05"/>
    <w:rsid w:val="004B671C"/>
    <w:rsid w:val="004C5329"/>
    <w:rsid w:val="004C78D0"/>
    <w:rsid w:val="004D56CD"/>
    <w:rsid w:val="004F7996"/>
    <w:rsid w:val="005017CF"/>
    <w:rsid w:val="005026DD"/>
    <w:rsid w:val="005074A1"/>
    <w:rsid w:val="0054095B"/>
    <w:rsid w:val="00541108"/>
    <w:rsid w:val="005544C8"/>
    <w:rsid w:val="00575784"/>
    <w:rsid w:val="005D5E36"/>
    <w:rsid w:val="005D7C56"/>
    <w:rsid w:val="005F5C6A"/>
    <w:rsid w:val="00616752"/>
    <w:rsid w:val="0062637A"/>
    <w:rsid w:val="006606A9"/>
    <w:rsid w:val="006938F7"/>
    <w:rsid w:val="006E018C"/>
    <w:rsid w:val="007033F0"/>
    <w:rsid w:val="00720516"/>
    <w:rsid w:val="00722274"/>
    <w:rsid w:val="00725B51"/>
    <w:rsid w:val="00735921"/>
    <w:rsid w:val="007362D5"/>
    <w:rsid w:val="007467C7"/>
    <w:rsid w:val="00757257"/>
    <w:rsid w:val="00774907"/>
    <w:rsid w:val="00793890"/>
    <w:rsid w:val="00795A2D"/>
    <w:rsid w:val="007973EC"/>
    <w:rsid w:val="007D2D94"/>
    <w:rsid w:val="00805866"/>
    <w:rsid w:val="00816D50"/>
    <w:rsid w:val="008221CD"/>
    <w:rsid w:val="00842624"/>
    <w:rsid w:val="0084422F"/>
    <w:rsid w:val="008625C9"/>
    <w:rsid w:val="008744C2"/>
    <w:rsid w:val="00894C01"/>
    <w:rsid w:val="00895AD6"/>
    <w:rsid w:val="008A1463"/>
    <w:rsid w:val="008B0E51"/>
    <w:rsid w:val="008B1C5E"/>
    <w:rsid w:val="008B26D8"/>
    <w:rsid w:val="008E021C"/>
    <w:rsid w:val="008F53EB"/>
    <w:rsid w:val="00916F66"/>
    <w:rsid w:val="00935410"/>
    <w:rsid w:val="00954FC6"/>
    <w:rsid w:val="009619E5"/>
    <w:rsid w:val="00971476"/>
    <w:rsid w:val="009818E3"/>
    <w:rsid w:val="00984DD5"/>
    <w:rsid w:val="009A2107"/>
    <w:rsid w:val="009C038B"/>
    <w:rsid w:val="009E20AB"/>
    <w:rsid w:val="009E3DDD"/>
    <w:rsid w:val="009E6AD4"/>
    <w:rsid w:val="009F3C8B"/>
    <w:rsid w:val="00A06469"/>
    <w:rsid w:val="00A1162B"/>
    <w:rsid w:val="00A65322"/>
    <w:rsid w:val="00A75CD7"/>
    <w:rsid w:val="00AB65F3"/>
    <w:rsid w:val="00AC5E5C"/>
    <w:rsid w:val="00AC77A5"/>
    <w:rsid w:val="00AE3329"/>
    <w:rsid w:val="00B003FC"/>
    <w:rsid w:val="00B1319E"/>
    <w:rsid w:val="00B20ED6"/>
    <w:rsid w:val="00B62BFF"/>
    <w:rsid w:val="00B74E53"/>
    <w:rsid w:val="00B817AA"/>
    <w:rsid w:val="00B8211B"/>
    <w:rsid w:val="00B97122"/>
    <w:rsid w:val="00BB3407"/>
    <w:rsid w:val="00BB3758"/>
    <w:rsid w:val="00BB5B2B"/>
    <w:rsid w:val="00BC10DE"/>
    <w:rsid w:val="00BC550C"/>
    <w:rsid w:val="00BC5E46"/>
    <w:rsid w:val="00BE128B"/>
    <w:rsid w:val="00C01E00"/>
    <w:rsid w:val="00C0346E"/>
    <w:rsid w:val="00C05C8C"/>
    <w:rsid w:val="00C31CA1"/>
    <w:rsid w:val="00C53DBB"/>
    <w:rsid w:val="00C63DD8"/>
    <w:rsid w:val="00C90291"/>
    <w:rsid w:val="00CB197E"/>
    <w:rsid w:val="00CE7F04"/>
    <w:rsid w:val="00CF6D23"/>
    <w:rsid w:val="00D1198B"/>
    <w:rsid w:val="00D25930"/>
    <w:rsid w:val="00D40A65"/>
    <w:rsid w:val="00D562EF"/>
    <w:rsid w:val="00D96885"/>
    <w:rsid w:val="00DA49D7"/>
    <w:rsid w:val="00DC5CC7"/>
    <w:rsid w:val="00DE77CA"/>
    <w:rsid w:val="00E05D53"/>
    <w:rsid w:val="00E22AB4"/>
    <w:rsid w:val="00E261E8"/>
    <w:rsid w:val="00E366D7"/>
    <w:rsid w:val="00E6036B"/>
    <w:rsid w:val="00E70901"/>
    <w:rsid w:val="00E807A1"/>
    <w:rsid w:val="00E812EB"/>
    <w:rsid w:val="00E817EA"/>
    <w:rsid w:val="00E82F5B"/>
    <w:rsid w:val="00E93D3E"/>
    <w:rsid w:val="00E94751"/>
    <w:rsid w:val="00EA097B"/>
    <w:rsid w:val="00EB311A"/>
    <w:rsid w:val="00ED6899"/>
    <w:rsid w:val="00EE5AC4"/>
    <w:rsid w:val="00F100B8"/>
    <w:rsid w:val="00F12D3F"/>
    <w:rsid w:val="00F358D5"/>
    <w:rsid w:val="00F4782A"/>
    <w:rsid w:val="00F714E2"/>
    <w:rsid w:val="00F84AF1"/>
    <w:rsid w:val="00F91859"/>
    <w:rsid w:val="00F93EA7"/>
    <w:rsid w:val="00F97A19"/>
    <w:rsid w:val="00FA1B80"/>
    <w:rsid w:val="00FA4561"/>
    <w:rsid w:val="00FA4AB3"/>
    <w:rsid w:val="00FB1122"/>
    <w:rsid w:val="00FE7C0C"/>
    <w:rsid w:val="00FF0FF8"/>
    <w:rsid w:val="00FF4F01"/>
    <w:rsid w:val="00FF6248"/>
    <w:rsid w:val="013D73C1"/>
    <w:rsid w:val="01714809"/>
    <w:rsid w:val="06915638"/>
    <w:rsid w:val="069B5E85"/>
    <w:rsid w:val="07504EC1"/>
    <w:rsid w:val="08DF02AB"/>
    <w:rsid w:val="09ED6280"/>
    <w:rsid w:val="0B640F3B"/>
    <w:rsid w:val="0B925AA8"/>
    <w:rsid w:val="0BB579E9"/>
    <w:rsid w:val="0D5A25F6"/>
    <w:rsid w:val="0DDF2AFB"/>
    <w:rsid w:val="0DDF6F9F"/>
    <w:rsid w:val="0E2F4A8A"/>
    <w:rsid w:val="0E9E29B6"/>
    <w:rsid w:val="0F225395"/>
    <w:rsid w:val="1041184B"/>
    <w:rsid w:val="120C6CB9"/>
    <w:rsid w:val="12A043C1"/>
    <w:rsid w:val="12E830B9"/>
    <w:rsid w:val="138D1D96"/>
    <w:rsid w:val="147F6DE6"/>
    <w:rsid w:val="14997EA7"/>
    <w:rsid w:val="14C65DDC"/>
    <w:rsid w:val="167D7355"/>
    <w:rsid w:val="16A6065A"/>
    <w:rsid w:val="188432A4"/>
    <w:rsid w:val="1B247D7F"/>
    <w:rsid w:val="1B4F7512"/>
    <w:rsid w:val="1D70551D"/>
    <w:rsid w:val="1D9C4564"/>
    <w:rsid w:val="1E28404A"/>
    <w:rsid w:val="1E430E84"/>
    <w:rsid w:val="205E3D53"/>
    <w:rsid w:val="20D91170"/>
    <w:rsid w:val="210E7527"/>
    <w:rsid w:val="211D59BC"/>
    <w:rsid w:val="21700DF4"/>
    <w:rsid w:val="21BD5BDE"/>
    <w:rsid w:val="220B1CB9"/>
    <w:rsid w:val="228F3384"/>
    <w:rsid w:val="23167F0D"/>
    <w:rsid w:val="23E03EB2"/>
    <w:rsid w:val="24D740D4"/>
    <w:rsid w:val="252A182A"/>
    <w:rsid w:val="264D685D"/>
    <w:rsid w:val="26667E05"/>
    <w:rsid w:val="268D5392"/>
    <w:rsid w:val="27F07987"/>
    <w:rsid w:val="2A45120F"/>
    <w:rsid w:val="2A482747"/>
    <w:rsid w:val="2A76062B"/>
    <w:rsid w:val="2B457FE9"/>
    <w:rsid w:val="2DA76268"/>
    <w:rsid w:val="2F807EF9"/>
    <w:rsid w:val="30062607"/>
    <w:rsid w:val="306C426A"/>
    <w:rsid w:val="30D115E1"/>
    <w:rsid w:val="322272D6"/>
    <w:rsid w:val="32FA4EF0"/>
    <w:rsid w:val="33400D8F"/>
    <w:rsid w:val="34831921"/>
    <w:rsid w:val="355103D5"/>
    <w:rsid w:val="356E4845"/>
    <w:rsid w:val="35AE2C2F"/>
    <w:rsid w:val="365F1412"/>
    <w:rsid w:val="36C56482"/>
    <w:rsid w:val="379A790F"/>
    <w:rsid w:val="38347A67"/>
    <w:rsid w:val="39232CE9"/>
    <w:rsid w:val="39CD7B28"/>
    <w:rsid w:val="39F671C1"/>
    <w:rsid w:val="3A86417A"/>
    <w:rsid w:val="3AD849D6"/>
    <w:rsid w:val="3BFC2946"/>
    <w:rsid w:val="3C885F88"/>
    <w:rsid w:val="3DEE4511"/>
    <w:rsid w:val="3EDE6333"/>
    <w:rsid w:val="3F2C251F"/>
    <w:rsid w:val="408829FA"/>
    <w:rsid w:val="41F14A95"/>
    <w:rsid w:val="42A94EAA"/>
    <w:rsid w:val="432D7889"/>
    <w:rsid w:val="43A23DD3"/>
    <w:rsid w:val="44670B79"/>
    <w:rsid w:val="465F5FAB"/>
    <w:rsid w:val="47D14C87"/>
    <w:rsid w:val="480A63EB"/>
    <w:rsid w:val="489A776F"/>
    <w:rsid w:val="4A283F80"/>
    <w:rsid w:val="4A9621B8"/>
    <w:rsid w:val="4BE02A99"/>
    <w:rsid w:val="4C1635B0"/>
    <w:rsid w:val="4C7402D7"/>
    <w:rsid w:val="4C83676C"/>
    <w:rsid w:val="4DF55447"/>
    <w:rsid w:val="4FBD1F95"/>
    <w:rsid w:val="50CE26AB"/>
    <w:rsid w:val="50FB0FC7"/>
    <w:rsid w:val="51D57A6A"/>
    <w:rsid w:val="52293911"/>
    <w:rsid w:val="522B768A"/>
    <w:rsid w:val="52835C8B"/>
    <w:rsid w:val="54613836"/>
    <w:rsid w:val="548711BE"/>
    <w:rsid w:val="54B25E40"/>
    <w:rsid w:val="54DE09E3"/>
    <w:rsid w:val="556233C2"/>
    <w:rsid w:val="55EFE586"/>
    <w:rsid w:val="577613A7"/>
    <w:rsid w:val="57AA72A2"/>
    <w:rsid w:val="57BF2D4E"/>
    <w:rsid w:val="58262DCD"/>
    <w:rsid w:val="582D3B05"/>
    <w:rsid w:val="588B70D4"/>
    <w:rsid w:val="58C07CA1"/>
    <w:rsid w:val="59172716"/>
    <w:rsid w:val="59D32AE1"/>
    <w:rsid w:val="5B003D2B"/>
    <w:rsid w:val="5B1433B1"/>
    <w:rsid w:val="5B694D7F"/>
    <w:rsid w:val="5B975D90"/>
    <w:rsid w:val="5C757E7F"/>
    <w:rsid w:val="5CD22094"/>
    <w:rsid w:val="5D235B2D"/>
    <w:rsid w:val="5DAE005A"/>
    <w:rsid w:val="5F613AD9"/>
    <w:rsid w:val="6089214B"/>
    <w:rsid w:val="62F675F7"/>
    <w:rsid w:val="64670901"/>
    <w:rsid w:val="6480384A"/>
    <w:rsid w:val="65575B21"/>
    <w:rsid w:val="65913850"/>
    <w:rsid w:val="669730E8"/>
    <w:rsid w:val="67332E10"/>
    <w:rsid w:val="675D1B9D"/>
    <w:rsid w:val="67FA392E"/>
    <w:rsid w:val="68024591"/>
    <w:rsid w:val="687B392E"/>
    <w:rsid w:val="68880F3A"/>
    <w:rsid w:val="689E3510"/>
    <w:rsid w:val="699A00C4"/>
    <w:rsid w:val="6A266402"/>
    <w:rsid w:val="6B1271E1"/>
    <w:rsid w:val="6B6D4417"/>
    <w:rsid w:val="6BB32DB7"/>
    <w:rsid w:val="6BC67FC5"/>
    <w:rsid w:val="6C9F6852"/>
    <w:rsid w:val="6D107750"/>
    <w:rsid w:val="6D54580C"/>
    <w:rsid w:val="6D547772"/>
    <w:rsid w:val="6E012760"/>
    <w:rsid w:val="6F5EDBF1"/>
    <w:rsid w:val="73465C7A"/>
    <w:rsid w:val="734737A0"/>
    <w:rsid w:val="736B7A54"/>
    <w:rsid w:val="737F73DD"/>
    <w:rsid w:val="73F676A0"/>
    <w:rsid w:val="74B97970"/>
    <w:rsid w:val="75BE5F9B"/>
    <w:rsid w:val="762B73A9"/>
    <w:rsid w:val="763C3364"/>
    <w:rsid w:val="767825EE"/>
    <w:rsid w:val="76B80C3C"/>
    <w:rsid w:val="774C112F"/>
    <w:rsid w:val="77520682"/>
    <w:rsid w:val="77FCBD26"/>
    <w:rsid w:val="7AFFFC51"/>
    <w:rsid w:val="7B5573A2"/>
    <w:rsid w:val="7BDD1E0F"/>
    <w:rsid w:val="7BDD3F00"/>
    <w:rsid w:val="7BFEB4C7"/>
    <w:rsid w:val="7C1F175E"/>
    <w:rsid w:val="7FDFA597"/>
    <w:rsid w:val="ADD6C2CF"/>
    <w:rsid w:val="BFFF7E56"/>
    <w:rsid w:val="C6BF30F8"/>
    <w:rsid w:val="DD3FEDB7"/>
    <w:rsid w:val="DDFFE45F"/>
    <w:rsid w:val="DFFEE881"/>
    <w:rsid w:val="E8DAF93C"/>
    <w:rsid w:val="EED965A1"/>
    <w:rsid w:val="FAFF9F3B"/>
    <w:rsid w:val="FEBFF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ind w:left="420"/>
      <w:outlineLvl w:val="1"/>
    </w:pPr>
    <w:rPr>
      <w:rFonts w:ascii="Arial" w:hAnsi="Arial" w:eastAsia="仿宋_GB2312"/>
      <w:sz w:val="28"/>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semiHidden/>
    <w:unhideWhenUsed/>
    <w:qFormat/>
    <w:uiPriority w:val="99"/>
    <w:pPr>
      <w:spacing w:after="120"/>
    </w:pPr>
  </w:style>
  <w:style w:type="paragraph" w:styleId="5">
    <w:name w:val="annotation text"/>
    <w:basedOn w:val="1"/>
    <w:semiHidden/>
    <w:unhideWhenUsed/>
    <w:qFormat/>
    <w:uiPriority w:val="99"/>
    <w:pPr>
      <w:jc w:val="left"/>
    </w:pPr>
  </w:style>
  <w:style w:type="paragraph" w:styleId="6">
    <w:name w:val="Body Text Indent"/>
    <w:basedOn w:val="1"/>
    <w:unhideWhenUsed/>
    <w:qFormat/>
    <w:uiPriority w:val="0"/>
    <w:pPr>
      <w:spacing w:after="120"/>
      <w:ind w:left="420" w:leftChars="200"/>
    </w:pPr>
  </w:style>
  <w:style w:type="paragraph" w:styleId="7">
    <w:name w:val="Plain Text"/>
    <w:basedOn w:val="1"/>
    <w:autoRedefine/>
    <w:qFormat/>
    <w:uiPriority w:val="0"/>
    <w:rPr>
      <w:rFonts w:ascii="宋体" w:hAnsi="Courier New" w:cs="Courier New"/>
      <w:szCs w:val="21"/>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contextualSpacing/>
    </w:p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6"/>
    <w:next w:val="13"/>
    <w:qFormat/>
    <w:uiPriority w:val="0"/>
    <w:pPr>
      <w:ind w:left="0" w:leftChars="0" w:firstLine="420"/>
    </w:pPr>
    <w:rPr>
      <w:rFonts w:ascii="Times New Roman" w:hAnsi="Times New Roman"/>
      <w:szCs w:val="24"/>
    </w:rPr>
  </w:style>
  <w:style w:type="paragraph" w:customStyle="1" w:styleId="13">
    <w:name w:val="表格文字"/>
    <w:basedOn w:val="10"/>
    <w:next w:val="1"/>
    <w:qFormat/>
    <w:uiPriority w:val="0"/>
    <w:pPr>
      <w:ind w:firstLine="0" w:firstLineChars="0"/>
      <w:jc w:val="center"/>
    </w:pPr>
    <w:rPr>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paragraph" w:styleId="21">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22">
    <w:name w:val="未处理的提及1"/>
    <w:basedOn w:val="16"/>
    <w:semiHidden/>
    <w:unhideWhenUsed/>
    <w:qFormat/>
    <w:uiPriority w:val="99"/>
    <w:rPr>
      <w:color w:val="605E5C"/>
      <w:shd w:val="clear" w:color="auto" w:fill="E1DFDD"/>
    </w:rPr>
  </w:style>
  <w:style w:type="character" w:customStyle="1" w:styleId="23">
    <w:name w:val="正文文本 Char"/>
    <w:basedOn w:val="16"/>
    <w:link w:val="2"/>
    <w:semiHidden/>
    <w:qFormat/>
    <w:uiPriority w:val="99"/>
    <w:rPr>
      <w:kern w:val="2"/>
      <w:sz w:val="21"/>
      <w:szCs w:val="22"/>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12</Pages>
  <Words>1253</Words>
  <Characters>1402</Characters>
  <Lines>17</Lines>
  <Paragraphs>4</Paragraphs>
  <TotalTime>12</TotalTime>
  <ScaleCrop>false</ScaleCrop>
  <LinksUpToDate>false</LinksUpToDate>
  <CharactersWithSpaces>1406</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2021-03-14T01:18:00Z</dcterms:created>
  <dc:creator>L YY</dc:creator>
  <cp:lastModifiedBy>邵蔚</cp:lastModifiedBy>
  <cp:lastPrinted>2024-01-13T08:29:00Z</cp:lastPrinted>
  <dcterms:modified xsi:type="dcterms:W3CDTF">2026-05-29T17:22:39Z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3740E0DE832422921AF8186A444CE0A2_43</vt:lpwstr>
  </property>
  <property fmtid="{D5CDD505-2E9C-101B-9397-08002B2CF9AE}" pid="4" name="KSOTemplateDocerSaveRecord">
    <vt:lpwstr>eyJoZGlkIjoiMzc3OGQzZDJmOWY1MWRhNWQzMjE1MjM5OTA0MTRmZGMiLCJ1c2VySWQiOiIxNjI2MTI0NjA1In0=</vt:lpwstr>
  </property>
</Properties>
</file>