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ind w:right="-94" w:rightChars="-45"/>
        <w:jc w:val="center"/>
        <w:textAlignment w:val="auto"/>
        <w:rPr>
          <w:rFonts w:hint="eastAsia" w:ascii="宋体" w:hAnsi="宋体"/>
          <w:b/>
          <w:bCs/>
          <w:sz w:val="32"/>
          <w:szCs w:val="32"/>
        </w:rPr>
      </w:pPr>
      <w:r>
        <w:rPr>
          <w:rFonts w:hint="eastAsia" w:ascii="宋体" w:hAnsi="宋体"/>
          <w:b/>
          <w:bCs/>
          <w:sz w:val="32"/>
          <w:szCs w:val="32"/>
          <w:lang w:val="en-US" w:eastAsia="zh-CN"/>
        </w:rPr>
        <w:t>2023-2024年度网络安全维护维保服务询</w:t>
      </w:r>
      <w:r>
        <w:rPr>
          <w:rFonts w:hint="eastAsia" w:ascii="宋体" w:hAnsi="宋体"/>
          <w:b/>
          <w:bCs/>
          <w:sz w:val="32"/>
          <w:szCs w:val="32"/>
        </w:rPr>
        <w:t>价文件</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360" w:lineRule="auto"/>
        <w:ind w:left="1965" w:leftChars="250" w:right="-94" w:rightChars="-45" w:hanging="1440" w:hangingChars="600"/>
        <w:textAlignment w:val="auto"/>
        <w:rPr>
          <w:rFonts w:hint="eastAsia" w:ascii="宋体" w:hAnsi="宋体" w:eastAsia="宋体" w:cs="宋体"/>
          <w:sz w:val="24"/>
          <w:szCs w:val="24"/>
        </w:rPr>
      </w:pPr>
      <w:r>
        <w:rPr>
          <w:rFonts w:hint="eastAsia" w:ascii="宋体" w:hAnsi="宋体" w:eastAsia="宋体" w:cs="宋体"/>
          <w:sz w:val="24"/>
          <w:szCs w:val="24"/>
        </w:rPr>
        <w:t>1、项目名称：</w:t>
      </w:r>
      <w:r>
        <w:rPr>
          <w:rFonts w:hint="eastAsia" w:ascii="宋体" w:hAnsi="宋体" w:eastAsia="宋体" w:cs="宋体"/>
          <w:sz w:val="24"/>
          <w:szCs w:val="24"/>
          <w:lang w:val="en-US" w:eastAsia="zh-CN"/>
        </w:rPr>
        <w:t>2023-2024年度网络安全</w:t>
      </w:r>
      <w:r>
        <w:rPr>
          <w:rFonts w:hint="eastAsia" w:ascii="宋体" w:hAnsi="宋体" w:eastAsia="宋体" w:cs="宋体"/>
          <w:sz w:val="24"/>
          <w:szCs w:val="24"/>
          <w:lang w:eastAsia="zh-CN"/>
        </w:rPr>
        <w:t>维护</w:t>
      </w:r>
      <w:r>
        <w:rPr>
          <w:rFonts w:hint="eastAsia" w:ascii="宋体" w:hAnsi="宋体" w:eastAsia="宋体" w:cs="宋体"/>
          <w:sz w:val="24"/>
          <w:szCs w:val="24"/>
          <w:lang w:val="en-US" w:eastAsia="zh-CN"/>
        </w:rPr>
        <w:t>维保服务</w:t>
      </w:r>
    </w:p>
    <w:p>
      <w:pPr>
        <w:keepNext w:val="0"/>
        <w:keepLines w:val="0"/>
        <w:pageBreakBefore w:val="0"/>
        <w:widowControl w:val="0"/>
        <w:kinsoku/>
        <w:wordWrap/>
        <w:overflowPunct/>
        <w:topLinePunct w:val="0"/>
        <w:autoSpaceDE/>
        <w:autoSpaceDN/>
        <w:bidi w:val="0"/>
        <w:adjustRightInd/>
        <w:snapToGrid/>
        <w:spacing w:line="360" w:lineRule="auto"/>
        <w:ind w:left="1965" w:leftChars="250" w:right="-94" w:rightChars="-45" w:hanging="1440" w:hangingChars="600"/>
        <w:textAlignment w:val="auto"/>
        <w:rPr>
          <w:rFonts w:hint="eastAsia" w:ascii="宋体" w:hAnsi="宋体" w:eastAsia="宋体" w:cs="宋体"/>
          <w:sz w:val="24"/>
          <w:szCs w:val="24"/>
        </w:rPr>
      </w:pPr>
      <w:r>
        <w:rPr>
          <w:rFonts w:hint="eastAsia" w:ascii="宋体" w:hAnsi="宋体" w:eastAsia="宋体" w:cs="宋体"/>
          <w:sz w:val="24"/>
          <w:szCs w:val="24"/>
        </w:rPr>
        <w:t>2、项目地点：天津市</w:t>
      </w:r>
    </w:p>
    <w:p>
      <w:pPr>
        <w:keepNext w:val="0"/>
        <w:keepLines w:val="0"/>
        <w:pageBreakBefore w:val="0"/>
        <w:widowControl w:val="0"/>
        <w:kinsoku/>
        <w:wordWrap/>
        <w:overflowPunct/>
        <w:topLinePunct w:val="0"/>
        <w:autoSpaceDE/>
        <w:autoSpaceDN/>
        <w:bidi w:val="0"/>
        <w:adjustRightInd/>
        <w:snapToGrid/>
        <w:spacing w:line="360" w:lineRule="auto"/>
        <w:ind w:left="1965" w:leftChars="250" w:hanging="1440" w:hangingChars="6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3、内容包含：</w:t>
      </w:r>
      <w:r>
        <w:rPr>
          <w:rFonts w:hint="eastAsia" w:ascii="宋体" w:hAnsi="宋体" w:eastAsia="宋体" w:cs="宋体"/>
          <w:sz w:val="24"/>
          <w:szCs w:val="24"/>
          <w:lang w:val="en-US" w:eastAsia="zh-CN"/>
        </w:rPr>
        <w:t>详见需求书</w:t>
      </w:r>
    </w:p>
    <w:p>
      <w:pPr>
        <w:keepNext w:val="0"/>
        <w:keepLines w:val="0"/>
        <w:pageBreakBefore w:val="0"/>
        <w:widowControl w:val="0"/>
        <w:kinsoku/>
        <w:wordWrap/>
        <w:overflowPunct/>
        <w:topLinePunct w:val="0"/>
        <w:autoSpaceDE/>
        <w:autoSpaceDN/>
        <w:bidi w:val="0"/>
        <w:adjustRightInd/>
        <w:snapToGrid/>
        <w:spacing w:line="360" w:lineRule="auto"/>
        <w:ind w:left="1965" w:leftChars="250" w:hanging="1440" w:hangingChars="600"/>
        <w:textAlignment w:val="auto"/>
        <w:rPr>
          <w:rFonts w:hint="eastAsia" w:ascii="宋体" w:hAnsi="宋体" w:eastAsia="宋体" w:cs="宋体"/>
          <w:sz w:val="24"/>
          <w:szCs w:val="24"/>
        </w:rPr>
      </w:pPr>
      <w:r>
        <w:rPr>
          <w:rFonts w:hint="eastAsia" w:ascii="宋体" w:hAnsi="宋体" w:eastAsia="宋体" w:cs="宋体"/>
          <w:sz w:val="24"/>
          <w:szCs w:val="24"/>
        </w:rPr>
        <w:t>4、</w:t>
      </w:r>
      <w:r>
        <w:rPr>
          <w:rFonts w:hint="eastAsia" w:ascii="宋体" w:hAnsi="宋体" w:eastAsia="宋体" w:cs="宋体"/>
          <w:sz w:val="24"/>
          <w:szCs w:val="24"/>
          <w:lang w:val="en-US" w:eastAsia="zh-CN"/>
        </w:rPr>
        <w:t>服务</w:t>
      </w:r>
      <w:r>
        <w:rPr>
          <w:rFonts w:hint="eastAsia" w:ascii="宋体" w:hAnsi="宋体" w:eastAsia="宋体" w:cs="宋体"/>
          <w:sz w:val="24"/>
          <w:szCs w:val="24"/>
        </w:rPr>
        <w:t>期：一年</w:t>
      </w:r>
    </w:p>
    <w:p>
      <w:pPr>
        <w:keepNext w:val="0"/>
        <w:keepLines w:val="0"/>
        <w:pageBreakBefore w:val="0"/>
        <w:widowControl w:val="0"/>
        <w:kinsoku/>
        <w:wordWrap/>
        <w:overflowPunct/>
        <w:topLinePunct w:val="0"/>
        <w:autoSpaceDE/>
        <w:autoSpaceDN/>
        <w:bidi w:val="0"/>
        <w:adjustRightInd/>
        <w:snapToGrid/>
        <w:spacing w:line="360" w:lineRule="auto"/>
        <w:ind w:left="1965" w:leftChars="250" w:hanging="1440" w:hangingChars="6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5、采购控制价：9.85万元</w:t>
      </w:r>
    </w:p>
    <w:p>
      <w:pPr>
        <w:keepNext w:val="0"/>
        <w:keepLines w:val="0"/>
        <w:pageBreakBefore w:val="0"/>
        <w:widowControl w:val="0"/>
        <w:kinsoku/>
        <w:wordWrap/>
        <w:overflowPunct/>
        <w:topLinePunct w:val="0"/>
        <w:autoSpaceDE/>
        <w:autoSpaceDN/>
        <w:bidi w:val="0"/>
        <w:adjustRightInd/>
        <w:snapToGrid/>
        <w:spacing w:line="360" w:lineRule="auto"/>
        <w:ind w:left="1965" w:leftChars="250" w:hanging="1440" w:hangingChars="6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、质量要求：</w:t>
      </w:r>
      <w:r>
        <w:rPr>
          <w:rFonts w:hint="eastAsia" w:ascii="宋体" w:hAnsi="宋体" w:eastAsia="宋体" w:cs="宋体"/>
          <w:sz w:val="24"/>
          <w:szCs w:val="24"/>
          <w:lang w:val="en-US" w:eastAsia="zh-CN"/>
        </w:rPr>
        <w:t>完善现有的安全防护体系，保障实现最佳安全防护效果</w:t>
      </w:r>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1039" w:leftChars="266" w:hanging="480" w:hanging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、资格要求：</w:t>
      </w:r>
    </w:p>
    <w:p>
      <w:pPr>
        <w:keepNext w:val="0"/>
        <w:keepLines w:val="0"/>
        <w:pageBreakBefore w:val="0"/>
        <w:widowControl w:val="0"/>
        <w:kinsoku/>
        <w:wordWrap/>
        <w:overflowPunct/>
        <w:topLinePunct w:val="0"/>
        <w:autoSpaceDE/>
        <w:autoSpaceDN/>
        <w:bidi w:val="0"/>
        <w:adjustRightInd/>
        <w:snapToGrid/>
        <w:spacing w:line="360" w:lineRule="auto"/>
        <w:ind w:left="1039" w:leftChars="266" w:hanging="480" w:hangingChars="200"/>
        <w:textAlignment w:val="auto"/>
        <w:rPr>
          <w:rFonts w:hint="eastAsia" w:ascii="宋体" w:hAnsi="宋体" w:eastAsia="宋体" w:cs="宋体"/>
          <w:sz w:val="24"/>
          <w:szCs w:val="24"/>
          <w:lang w:val="en-US"/>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kern w:val="2"/>
          <w:sz w:val="24"/>
          <w:szCs w:val="24"/>
          <w:lang w:val="en-US" w:eastAsia="zh-CN" w:bidi="ar-SA"/>
        </w:rPr>
        <w:t>投标人</w:t>
      </w:r>
      <w:r>
        <w:rPr>
          <w:rFonts w:hint="eastAsia" w:ascii="宋体" w:hAnsi="宋体" w:eastAsia="宋体" w:cs="宋体"/>
          <w:sz w:val="24"/>
          <w:szCs w:val="24"/>
          <w:lang w:eastAsia="zh-CN"/>
        </w:rPr>
        <w:t>具备独立法人资格，具备独立承担民事责任能力，营业执照在有效期内,营业执照复印件加盖公章；</w:t>
      </w:r>
    </w:p>
    <w:p>
      <w:pPr>
        <w:pStyle w:val="7"/>
        <w:spacing w:line="360" w:lineRule="auto"/>
        <w:ind w:firstLine="56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（2）投标人需提供所投厂商（服务机构）服务承诺函，承诺函包含深信服开具的服务授权和原厂售后服务承诺函并加盖制造商公章</w:t>
      </w:r>
    </w:p>
    <w:p>
      <w:pPr>
        <w:pStyle w:val="7"/>
        <w:spacing w:line="360" w:lineRule="auto"/>
        <w:ind w:firstLine="56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投标供应商需具备良好的企业信誉，近三年内（2022年1月1日至今），在经营生产中没有重大违法记录，未被列入“信用中国”网站(www.creditchina.gov.cn)等渠道查询信用记录失信被执行人、重大税收违法案件当事人名单、政府采购严重违法失信行为记录名单。</w:t>
      </w:r>
    </w:p>
    <w:p>
      <w:pPr>
        <w:pStyle w:val="7"/>
        <w:spacing w:line="360" w:lineRule="auto"/>
        <w:ind w:firstLine="56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（4）所投厂商（服务机构）配备至少3名技术工程师，提供流量检测与应急响应服务，必须具备CISP\CISP-PTE\CISP-PTS等其中之一的证书。。</w:t>
      </w:r>
    </w:p>
    <w:p>
      <w:pPr>
        <w:pStyle w:val="7"/>
        <w:spacing w:line="360" w:lineRule="auto"/>
        <w:ind w:firstLine="56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（5）所投厂商（服务机构）提供近三年（2022年1月1日至今）有相关网络安全服务合同1份。</w:t>
      </w:r>
    </w:p>
    <w:p>
      <w:pPr>
        <w:pStyle w:val="7"/>
        <w:spacing w:line="360" w:lineRule="auto"/>
        <w:ind w:firstLine="56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（6）应为水务集团合格供应商（“津水云采”平台注册审核通过并购买CA证书的供应商）；</w:t>
      </w:r>
    </w:p>
    <w:p>
      <w:pPr>
        <w:keepNext w:val="0"/>
        <w:keepLines w:val="0"/>
        <w:pageBreakBefore w:val="0"/>
        <w:widowControl w:val="0"/>
        <w:kinsoku/>
        <w:wordWrap/>
        <w:overflowPunct/>
        <w:topLinePunct w:val="0"/>
        <w:autoSpaceDE/>
        <w:autoSpaceDN/>
        <w:bidi w:val="0"/>
        <w:adjustRightInd/>
        <w:snapToGrid/>
        <w:spacing w:line="360" w:lineRule="auto"/>
        <w:ind w:left="921" w:leftChars="267" w:hanging="360" w:hangingChars="15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w:t>
      </w:r>
      <w:r>
        <w:rPr>
          <w:rFonts w:hint="eastAsia" w:ascii="宋体" w:hAnsi="宋体" w:eastAsia="宋体" w:cs="宋体"/>
          <w:sz w:val="24"/>
          <w:szCs w:val="24"/>
          <w:lang w:val="en-US" w:eastAsia="zh-CN"/>
        </w:rPr>
        <w:t>报价</w:t>
      </w:r>
      <w:r>
        <w:rPr>
          <w:rFonts w:hint="eastAsia" w:ascii="宋体" w:hAnsi="宋体" w:eastAsia="宋体" w:cs="宋体"/>
          <w:sz w:val="24"/>
          <w:szCs w:val="24"/>
        </w:rPr>
        <w:t>单位须根据本项目采购清单，并结合市场价格进行报价。</w:t>
      </w:r>
    </w:p>
    <w:p>
      <w:pPr>
        <w:keepNext w:val="0"/>
        <w:keepLines w:val="0"/>
        <w:pageBreakBefore w:val="0"/>
        <w:widowControl w:val="0"/>
        <w:kinsoku/>
        <w:wordWrap/>
        <w:overflowPunct/>
        <w:topLinePunct w:val="0"/>
        <w:autoSpaceDE/>
        <w:autoSpaceDN/>
        <w:bidi w:val="0"/>
        <w:adjustRightInd/>
        <w:snapToGrid/>
        <w:spacing w:line="360" w:lineRule="auto"/>
        <w:ind w:left="921" w:leftChars="267" w:hanging="360" w:hangingChars="15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9、评审方式：合理低价中标</w:t>
      </w:r>
    </w:p>
    <w:p>
      <w:pPr>
        <w:keepNext w:val="0"/>
        <w:keepLines w:val="0"/>
        <w:pageBreakBefore w:val="0"/>
        <w:widowControl w:val="0"/>
        <w:kinsoku/>
        <w:wordWrap/>
        <w:overflowPunct/>
        <w:topLinePunct w:val="0"/>
        <w:autoSpaceDE/>
        <w:autoSpaceDN/>
        <w:bidi w:val="0"/>
        <w:adjustRightInd/>
        <w:snapToGrid/>
        <w:spacing w:line="360" w:lineRule="auto"/>
        <w:ind w:left="921" w:leftChars="267" w:hanging="360" w:hangingChars="15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10、付款方式：合同后签订后半年一支付</w:t>
      </w:r>
    </w:p>
    <w:p>
      <w:pPr>
        <w:keepNext w:val="0"/>
        <w:keepLines w:val="0"/>
        <w:pageBreakBefore w:val="0"/>
        <w:widowControl w:val="0"/>
        <w:kinsoku/>
        <w:wordWrap/>
        <w:overflowPunct/>
        <w:topLinePunct w:val="0"/>
        <w:autoSpaceDE/>
        <w:autoSpaceDN/>
        <w:bidi w:val="0"/>
        <w:adjustRightInd/>
        <w:snapToGrid/>
        <w:spacing w:line="360" w:lineRule="auto"/>
        <w:ind w:left="921" w:leftChars="267" w:hanging="360" w:hangingChars="15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11、报价单位所编制的报价文件，需加盖公章、法人章，并提供第7条资</w:t>
      </w:r>
      <w:r>
        <w:rPr>
          <w:rFonts w:hint="eastAsia" w:ascii="宋体" w:hAnsi="宋体" w:eastAsia="宋体" w:cs="宋体"/>
          <w:sz w:val="24"/>
          <w:szCs w:val="24"/>
        </w:rPr>
        <w:t>格要求的资料加盖单位公章、法人章的复印件扫描件一套。</w:t>
      </w:r>
    </w:p>
    <w:p>
      <w:pPr>
        <w:keepNext w:val="0"/>
        <w:keepLines w:val="0"/>
        <w:pageBreakBefore w:val="0"/>
        <w:widowControl w:val="0"/>
        <w:kinsoku/>
        <w:wordWrap/>
        <w:overflowPunct/>
        <w:topLinePunct w:val="0"/>
        <w:autoSpaceDE/>
        <w:autoSpaceDN/>
        <w:bidi w:val="0"/>
        <w:adjustRightInd/>
        <w:snapToGrid/>
        <w:spacing w:line="360" w:lineRule="auto"/>
        <w:ind w:left="561" w:leftChars="267"/>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2</w:t>
      </w:r>
      <w:r>
        <w:rPr>
          <w:rFonts w:hint="eastAsia" w:ascii="宋体" w:hAnsi="宋体" w:eastAsia="宋体" w:cs="宋体"/>
          <w:sz w:val="24"/>
          <w:szCs w:val="24"/>
        </w:rPr>
        <w:t>、</w:t>
      </w:r>
      <w:r>
        <w:rPr>
          <w:rFonts w:hint="eastAsia" w:ascii="宋体" w:hAnsi="宋体" w:eastAsia="宋体" w:cs="宋体"/>
          <w:sz w:val="24"/>
          <w:szCs w:val="24"/>
          <w:lang w:val="en-US" w:eastAsia="zh-CN"/>
        </w:rPr>
        <w:t>报价</w:t>
      </w:r>
      <w:r>
        <w:rPr>
          <w:rFonts w:hint="eastAsia" w:ascii="宋体" w:hAnsi="宋体" w:eastAsia="宋体" w:cs="宋体"/>
          <w:sz w:val="24"/>
          <w:szCs w:val="24"/>
        </w:rPr>
        <w:t>单位应保证所提交给采购单位的资料和数据是真实的。</w:t>
      </w:r>
    </w:p>
    <w:p>
      <w:pPr>
        <w:keepNext w:val="0"/>
        <w:keepLines w:val="0"/>
        <w:pageBreakBefore w:val="0"/>
        <w:widowControl w:val="0"/>
        <w:kinsoku/>
        <w:wordWrap/>
        <w:overflowPunct/>
        <w:topLinePunct w:val="0"/>
        <w:autoSpaceDE/>
        <w:autoSpaceDN/>
        <w:bidi w:val="0"/>
        <w:adjustRightInd/>
        <w:snapToGrid/>
        <w:spacing w:line="360" w:lineRule="auto"/>
        <w:ind w:left="561" w:leftChars="267"/>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3</w:t>
      </w:r>
      <w:r>
        <w:rPr>
          <w:rFonts w:hint="eastAsia" w:ascii="宋体" w:hAnsi="宋体" w:eastAsia="宋体" w:cs="宋体"/>
          <w:sz w:val="24"/>
          <w:szCs w:val="24"/>
        </w:rPr>
        <w:t>、</w:t>
      </w:r>
      <w:r>
        <w:rPr>
          <w:rFonts w:hint="eastAsia" w:ascii="宋体" w:hAnsi="宋体" w:eastAsia="宋体" w:cs="宋体"/>
          <w:sz w:val="24"/>
          <w:szCs w:val="24"/>
          <w:lang w:val="en-US" w:eastAsia="zh-CN"/>
        </w:rPr>
        <w:t>报价</w:t>
      </w:r>
      <w:r>
        <w:rPr>
          <w:rFonts w:hint="eastAsia" w:ascii="宋体" w:hAnsi="宋体" w:eastAsia="宋体" w:cs="宋体"/>
          <w:sz w:val="24"/>
          <w:szCs w:val="24"/>
        </w:rPr>
        <w:t>单位应认真阅读</w:t>
      </w:r>
      <w:r>
        <w:rPr>
          <w:rFonts w:hint="eastAsia" w:ascii="宋体" w:hAnsi="宋体" w:eastAsia="宋体" w:cs="宋体"/>
          <w:sz w:val="24"/>
          <w:szCs w:val="24"/>
          <w:lang w:eastAsia="zh-CN"/>
        </w:rPr>
        <w:t>询价</w:t>
      </w:r>
      <w:r>
        <w:rPr>
          <w:rFonts w:hint="eastAsia" w:ascii="宋体" w:hAnsi="宋体" w:eastAsia="宋体" w:cs="宋体"/>
          <w:sz w:val="24"/>
          <w:szCs w:val="24"/>
        </w:rPr>
        <w:t>文件中所有的事项、格式、条款和规范等要求。</w:t>
      </w:r>
      <w:r>
        <w:rPr>
          <w:rFonts w:hint="eastAsia" w:ascii="宋体" w:hAnsi="宋体" w:eastAsia="宋体" w:cs="宋体"/>
          <w:sz w:val="24"/>
          <w:szCs w:val="24"/>
          <w:lang w:val="en-US" w:eastAsia="zh-CN"/>
        </w:rPr>
        <w:t>报价</w:t>
      </w:r>
      <w:r>
        <w:rPr>
          <w:rFonts w:hint="eastAsia" w:ascii="宋体" w:hAnsi="宋体" w:eastAsia="宋体" w:cs="宋体"/>
          <w:sz w:val="24"/>
          <w:szCs w:val="24"/>
        </w:rPr>
        <w:t>单位没有按照</w:t>
      </w:r>
      <w:r>
        <w:rPr>
          <w:rFonts w:hint="eastAsia" w:ascii="宋体" w:hAnsi="宋体" w:eastAsia="宋体" w:cs="宋体"/>
          <w:sz w:val="24"/>
          <w:szCs w:val="24"/>
          <w:lang w:eastAsia="zh-CN"/>
        </w:rPr>
        <w:t>询价</w:t>
      </w:r>
      <w:r>
        <w:rPr>
          <w:rFonts w:hint="eastAsia" w:ascii="宋体" w:hAnsi="宋体" w:eastAsia="宋体" w:cs="宋体"/>
          <w:sz w:val="24"/>
          <w:szCs w:val="24"/>
        </w:rPr>
        <w:t>文件要求提交全部资料，或者报价函未对</w:t>
      </w:r>
      <w:r>
        <w:rPr>
          <w:rFonts w:hint="eastAsia" w:ascii="宋体" w:hAnsi="宋体" w:eastAsia="宋体" w:cs="宋体"/>
          <w:sz w:val="24"/>
          <w:szCs w:val="24"/>
          <w:lang w:eastAsia="zh-CN"/>
        </w:rPr>
        <w:t>询价</w:t>
      </w:r>
      <w:r>
        <w:rPr>
          <w:rFonts w:hint="eastAsia" w:ascii="宋体" w:hAnsi="宋体" w:eastAsia="宋体" w:cs="宋体"/>
          <w:sz w:val="24"/>
          <w:szCs w:val="24"/>
        </w:rPr>
        <w:t>文件各方面都做出实质性响应，报价函将被否决。</w:t>
      </w:r>
    </w:p>
    <w:p>
      <w:pPr>
        <w:keepNext w:val="0"/>
        <w:keepLines w:val="0"/>
        <w:pageBreakBefore w:val="0"/>
        <w:widowControl w:val="0"/>
        <w:kinsoku/>
        <w:wordWrap/>
        <w:overflowPunct/>
        <w:topLinePunct w:val="0"/>
        <w:autoSpaceDE/>
        <w:autoSpaceDN/>
        <w:bidi w:val="0"/>
        <w:adjustRightInd/>
        <w:snapToGrid/>
        <w:spacing w:line="360" w:lineRule="auto"/>
        <w:ind w:left="561" w:leftChars="267"/>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4</w:t>
      </w:r>
      <w:r>
        <w:rPr>
          <w:rFonts w:hint="eastAsia" w:ascii="宋体" w:hAnsi="宋体" w:eastAsia="宋体" w:cs="宋体"/>
          <w:sz w:val="24"/>
          <w:szCs w:val="24"/>
        </w:rPr>
        <w:t>、</w:t>
      </w:r>
      <w:r>
        <w:rPr>
          <w:rFonts w:hint="eastAsia" w:ascii="宋体" w:hAnsi="宋体" w:eastAsia="宋体" w:cs="宋体"/>
          <w:sz w:val="24"/>
          <w:szCs w:val="24"/>
          <w:lang w:val="en-US" w:eastAsia="zh-CN"/>
        </w:rPr>
        <w:t>报价截止</w:t>
      </w:r>
      <w:r>
        <w:rPr>
          <w:rFonts w:hint="eastAsia" w:ascii="宋体" w:hAnsi="宋体" w:eastAsia="宋体" w:cs="宋体"/>
          <w:sz w:val="24"/>
          <w:szCs w:val="24"/>
        </w:rPr>
        <w:t>时间：202</w:t>
      </w:r>
      <w:r>
        <w:rPr>
          <w:rFonts w:hint="eastAsia" w:ascii="宋体" w:hAnsi="宋体" w:eastAsia="宋体" w:cs="宋体"/>
          <w:sz w:val="24"/>
          <w:szCs w:val="24"/>
          <w:lang w:val="en-US" w:eastAsia="zh-CN"/>
        </w:rPr>
        <w:t>4</w:t>
      </w:r>
      <w:r>
        <w:rPr>
          <w:rFonts w:hint="eastAsia" w:ascii="宋体" w:hAnsi="宋体" w:eastAsia="宋体" w:cs="宋体"/>
          <w:sz w:val="24"/>
          <w:szCs w:val="24"/>
        </w:rPr>
        <w:t>年</w:t>
      </w:r>
      <w:r>
        <w:rPr>
          <w:rFonts w:hint="eastAsia" w:ascii="宋体" w:hAnsi="宋体" w:eastAsia="宋体" w:cs="宋体"/>
          <w:sz w:val="24"/>
          <w:szCs w:val="24"/>
          <w:lang w:val="en-US" w:eastAsia="zh-CN"/>
        </w:rPr>
        <w:t>4</w:t>
      </w:r>
      <w:r>
        <w:rPr>
          <w:rFonts w:hint="eastAsia" w:ascii="宋体" w:hAnsi="宋体" w:eastAsia="宋体" w:cs="宋体"/>
          <w:sz w:val="24"/>
          <w:szCs w:val="24"/>
        </w:rPr>
        <w:t>月</w:t>
      </w:r>
      <w:r>
        <w:rPr>
          <w:rFonts w:hint="eastAsia" w:ascii="宋体" w:hAnsi="宋体" w:eastAsia="宋体" w:cs="宋体"/>
          <w:sz w:val="24"/>
          <w:szCs w:val="24"/>
          <w:lang w:val="en-US" w:eastAsia="zh-CN"/>
        </w:rPr>
        <w:t>24日</w:t>
      </w:r>
      <w:r>
        <w:rPr>
          <w:rFonts w:hint="eastAsia" w:ascii="宋体" w:hAnsi="宋体" w:eastAsia="宋体" w:cs="宋体"/>
          <w:sz w:val="24"/>
          <w:szCs w:val="24"/>
        </w:rPr>
        <w:t>16:00</w:t>
      </w:r>
    </w:p>
    <w:p>
      <w:pPr>
        <w:keepNext w:val="0"/>
        <w:keepLines w:val="0"/>
        <w:pageBreakBefore w:val="0"/>
        <w:widowControl w:val="0"/>
        <w:kinsoku/>
        <w:wordWrap/>
        <w:overflowPunct/>
        <w:topLinePunct w:val="0"/>
        <w:autoSpaceDE/>
        <w:autoSpaceDN/>
        <w:bidi w:val="0"/>
        <w:adjustRightInd/>
        <w:snapToGrid/>
        <w:spacing w:line="360" w:lineRule="auto"/>
        <w:ind w:left="561" w:leftChars="267"/>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5</w:t>
      </w:r>
      <w:r>
        <w:rPr>
          <w:rFonts w:hint="eastAsia" w:ascii="宋体" w:hAnsi="宋体" w:eastAsia="宋体" w:cs="宋体"/>
          <w:sz w:val="24"/>
          <w:szCs w:val="24"/>
        </w:rPr>
        <w:t>、联系人：</w:t>
      </w:r>
      <w:r>
        <w:rPr>
          <w:rFonts w:hint="eastAsia" w:ascii="宋体" w:hAnsi="宋体" w:eastAsia="宋体" w:cs="宋体"/>
          <w:sz w:val="24"/>
          <w:szCs w:val="24"/>
          <w:lang w:val="en-US" w:eastAsia="zh-CN"/>
        </w:rPr>
        <w:t>刘涛</w:t>
      </w:r>
      <w:r>
        <w:rPr>
          <w:rFonts w:hint="eastAsia" w:ascii="宋体" w:hAnsi="宋体" w:eastAsia="宋体" w:cs="宋体"/>
          <w:sz w:val="24"/>
          <w:szCs w:val="24"/>
        </w:rPr>
        <w:t>；联系电话：022-28392324转8</w:t>
      </w:r>
      <w:r>
        <w:rPr>
          <w:rFonts w:hint="eastAsia" w:ascii="宋体" w:hAnsi="宋体" w:eastAsia="宋体" w:cs="宋体"/>
          <w:sz w:val="24"/>
          <w:szCs w:val="24"/>
          <w:lang w:val="en-US" w:eastAsia="zh-CN"/>
        </w:rPr>
        <w:t>5</w:t>
      </w:r>
      <w:r>
        <w:rPr>
          <w:rFonts w:hint="eastAsia" w:ascii="宋体" w:hAnsi="宋体" w:eastAsia="宋体" w:cs="宋体"/>
          <w:sz w:val="24"/>
          <w:szCs w:val="24"/>
        </w:rPr>
        <w:t>05</w:t>
      </w:r>
    </w:p>
    <w:p>
      <w:pPr>
        <w:keepNext w:val="0"/>
        <w:keepLines w:val="0"/>
        <w:pageBreakBefore w:val="0"/>
        <w:widowControl w:val="0"/>
        <w:kinsoku/>
        <w:wordWrap/>
        <w:overflowPunct/>
        <w:topLinePunct w:val="0"/>
        <w:autoSpaceDE/>
        <w:autoSpaceDN/>
        <w:bidi w:val="0"/>
        <w:adjustRightInd/>
        <w:snapToGrid/>
        <w:spacing w:line="360" w:lineRule="auto"/>
        <w:ind w:firstLine="3120" w:firstLineChars="1300"/>
        <w:jc w:val="right"/>
        <w:textAlignment w:val="auto"/>
        <w:rPr>
          <w:rFonts w:hint="eastAsia" w:ascii="宋体" w:hAnsi="宋体" w:eastAsia="宋体" w:cs="宋体"/>
          <w:sz w:val="24"/>
          <w:szCs w:val="24"/>
        </w:rPr>
      </w:pPr>
      <w:r>
        <w:rPr>
          <w:rFonts w:hint="eastAsia" w:ascii="宋体" w:hAnsi="宋体" w:eastAsia="宋体" w:cs="宋体"/>
          <w:sz w:val="24"/>
          <w:szCs w:val="24"/>
        </w:rPr>
        <w:t>天津市自来水集团津南水务有限公司</w:t>
      </w:r>
    </w:p>
    <w:p>
      <w:pPr>
        <w:keepNext w:val="0"/>
        <w:keepLines w:val="0"/>
        <w:pageBreakBefore w:val="0"/>
        <w:widowControl w:val="0"/>
        <w:kinsoku/>
        <w:wordWrap/>
        <w:overflowPunct/>
        <w:topLinePunct w:val="0"/>
        <w:autoSpaceDE/>
        <w:autoSpaceDN/>
        <w:bidi w:val="0"/>
        <w:adjustRightInd/>
        <w:snapToGrid/>
        <w:spacing w:line="360" w:lineRule="auto"/>
        <w:ind w:right="560" w:firstLine="4080" w:firstLineChars="1700"/>
        <w:jc w:val="right"/>
        <w:textAlignment w:val="auto"/>
        <w:rPr>
          <w:rFonts w:hint="eastAsia" w:ascii="宋体"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4</w:t>
      </w:r>
      <w:r>
        <w:rPr>
          <w:rFonts w:hint="eastAsia" w:ascii="宋体" w:hAnsi="宋体" w:eastAsia="宋体" w:cs="宋体"/>
          <w:sz w:val="24"/>
          <w:szCs w:val="24"/>
        </w:rPr>
        <w:t>年</w:t>
      </w:r>
      <w:r>
        <w:rPr>
          <w:rFonts w:hint="eastAsia" w:ascii="宋体" w:hAnsi="宋体" w:eastAsia="宋体" w:cs="宋体"/>
          <w:sz w:val="24"/>
          <w:szCs w:val="24"/>
          <w:lang w:val="en-US" w:eastAsia="zh-CN"/>
        </w:rPr>
        <w:t>4</w:t>
      </w:r>
      <w:r>
        <w:rPr>
          <w:rFonts w:hint="eastAsia" w:ascii="宋体" w:hAnsi="宋体" w:eastAsia="宋体" w:cs="宋体"/>
          <w:sz w:val="24"/>
          <w:szCs w:val="24"/>
        </w:rPr>
        <w:t>月</w:t>
      </w:r>
      <w:r>
        <w:rPr>
          <w:rFonts w:hint="eastAsia" w:ascii="宋体" w:hAnsi="宋体" w:eastAsia="宋体" w:cs="宋体"/>
          <w:sz w:val="24"/>
          <w:szCs w:val="24"/>
          <w:lang w:val="en-US" w:eastAsia="zh-CN"/>
        </w:rPr>
        <w:t>22</w:t>
      </w:r>
      <w:r>
        <w:rPr>
          <w:rFonts w:hint="eastAsia" w:ascii="宋体" w:hAnsi="宋体" w:eastAsia="宋体" w:cs="宋体"/>
          <w:sz w:val="24"/>
          <w:szCs w:val="24"/>
        </w:rPr>
        <w:t>日</w:t>
      </w:r>
    </w:p>
    <w:p>
      <w:pPr>
        <w:spacing w:line="560" w:lineRule="exact"/>
        <w:jc w:val="center"/>
        <w:rPr>
          <w:rFonts w:ascii="方正小标宋简体" w:hAnsi="Times New Roman" w:eastAsia="方正小标宋简体" w:cs="黑体"/>
          <w:kern w:val="0"/>
          <w:sz w:val="44"/>
          <w:szCs w:val="44"/>
        </w:rPr>
      </w:pPr>
      <w:r>
        <w:rPr>
          <w:rFonts w:hint="eastAsia" w:ascii="宋体" w:hAnsi="宋体" w:eastAsia="宋体" w:cs="宋体"/>
          <w:sz w:val="24"/>
          <w:szCs w:val="24"/>
          <w:lang w:val="en-US" w:eastAsia="zh-CN"/>
        </w:rPr>
        <w:br w:type="page"/>
      </w:r>
      <w:r>
        <w:rPr>
          <w:rFonts w:hint="eastAsia" w:ascii="方正小标宋简体" w:hAnsi="Times New Roman" w:eastAsia="方正小标宋简体" w:cs="黑体"/>
          <w:kern w:val="0"/>
          <w:sz w:val="44"/>
          <w:szCs w:val="44"/>
        </w:rPr>
        <w:t>采购需求书</w:t>
      </w:r>
    </w:p>
    <w:p>
      <w:pPr>
        <w:spacing w:line="560" w:lineRule="exact"/>
        <w:jc w:val="left"/>
        <w:rPr>
          <w:rFonts w:ascii="仿宋_GB2312" w:hAnsi="黑体" w:eastAsia="仿宋_GB2312" w:cs="Times New Roman"/>
          <w:sz w:val="28"/>
          <w:szCs w:val="28"/>
        </w:rPr>
      </w:pPr>
      <w:r>
        <w:rPr>
          <w:rFonts w:hint="eastAsia" w:ascii="仿宋_GB2312" w:hAnsi="黑体" w:eastAsia="仿宋_GB2312" w:cs="Times New Roman"/>
          <w:sz w:val="28"/>
          <w:szCs w:val="28"/>
        </w:rPr>
        <w:t>采购需求部门</w:t>
      </w:r>
      <w:r>
        <w:rPr>
          <w:rFonts w:ascii="仿宋_GB2312" w:hAnsi="黑体" w:eastAsia="仿宋_GB2312" w:cs="Times New Roman"/>
          <w:sz w:val="28"/>
          <w:szCs w:val="28"/>
        </w:rPr>
        <w:t>/</w:t>
      </w:r>
      <w:r>
        <w:rPr>
          <w:rFonts w:hint="eastAsia" w:ascii="仿宋_GB2312" w:hAnsi="黑体" w:eastAsia="仿宋_GB2312" w:cs="Times New Roman"/>
          <w:sz w:val="28"/>
          <w:szCs w:val="28"/>
        </w:rPr>
        <w:t>单位（盖章）：</w:t>
      </w:r>
      <w:r>
        <w:rPr>
          <w:rFonts w:ascii="仿宋_GB2312" w:hAnsi="黑体" w:eastAsia="仿宋_GB2312" w:cs="Times New Roman"/>
          <w:sz w:val="28"/>
          <w:szCs w:val="28"/>
        </w:rPr>
        <w:t xml:space="preserve">        日期： </w:t>
      </w:r>
    </w:p>
    <w:tbl>
      <w:tblPr>
        <w:tblStyle w:val="13"/>
        <w:tblW w:w="98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349"/>
        <w:gridCol w:w="2532"/>
        <w:gridCol w:w="2551"/>
        <w:gridCol w:w="24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2349" w:type="dxa"/>
            <w:noWrap w:val="0"/>
            <w:vAlign w:val="center"/>
          </w:tcPr>
          <w:p>
            <w:pPr>
              <w:pStyle w:val="23"/>
              <w:spacing w:line="560" w:lineRule="exact"/>
              <w:ind w:firstLine="0" w:firstLineChars="0"/>
              <w:jc w:val="center"/>
              <w:rPr>
                <w:rFonts w:ascii="仿宋_GB2312" w:hAnsi="黑体" w:eastAsia="仿宋_GB2312" w:cs="Times New Roman"/>
                <w:sz w:val="28"/>
                <w:szCs w:val="28"/>
              </w:rPr>
            </w:pPr>
            <w:r>
              <w:rPr>
                <w:rFonts w:hint="eastAsia" w:ascii="仿宋_GB2312" w:hAnsi="黑体" w:eastAsia="仿宋_GB2312" w:cs="Times New Roman"/>
                <w:sz w:val="28"/>
                <w:szCs w:val="28"/>
              </w:rPr>
              <w:t>一、项目名称</w:t>
            </w:r>
          </w:p>
        </w:tc>
        <w:tc>
          <w:tcPr>
            <w:tcW w:w="7522" w:type="dxa"/>
            <w:gridSpan w:val="3"/>
            <w:noWrap w:val="0"/>
            <w:vAlign w:val="center"/>
          </w:tcPr>
          <w:p>
            <w:pPr>
              <w:pStyle w:val="23"/>
              <w:spacing w:line="560" w:lineRule="exact"/>
              <w:ind w:firstLine="0" w:firstLineChars="0"/>
              <w:jc w:val="center"/>
              <w:rPr>
                <w:rFonts w:hint="default" w:ascii="仿宋_GB2312" w:hAnsi="黑体" w:eastAsia="仿宋_GB2312" w:cs="Times New Roman"/>
                <w:sz w:val="28"/>
                <w:szCs w:val="28"/>
                <w:lang w:val="en-US" w:eastAsia="zh-CN"/>
              </w:rPr>
            </w:pPr>
            <w:r>
              <w:rPr>
                <w:rFonts w:hint="eastAsia" w:ascii="宋体" w:hAnsi="宋体" w:eastAsia="宋体" w:cs="宋体"/>
                <w:sz w:val="28"/>
                <w:szCs w:val="28"/>
                <w:lang w:val="en-US" w:eastAsia="zh-CN"/>
              </w:rPr>
              <w:t>2024-2025年度网络安全</w:t>
            </w:r>
            <w:r>
              <w:rPr>
                <w:rFonts w:hint="eastAsia" w:ascii="宋体" w:hAnsi="宋体" w:eastAsia="宋体" w:cs="宋体"/>
                <w:sz w:val="28"/>
                <w:szCs w:val="28"/>
                <w:lang w:eastAsia="zh-CN"/>
              </w:rPr>
              <w:t>维护</w:t>
            </w:r>
            <w:r>
              <w:rPr>
                <w:rFonts w:hint="eastAsia" w:ascii="宋体" w:hAnsi="宋体" w:eastAsia="宋体" w:cs="宋体"/>
                <w:sz w:val="28"/>
                <w:szCs w:val="28"/>
                <w:lang w:val="en-US" w:eastAsia="zh-CN"/>
              </w:rPr>
              <w:t>维保服务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2349" w:type="dxa"/>
            <w:vMerge w:val="restart"/>
            <w:noWrap w:val="0"/>
            <w:vAlign w:val="center"/>
          </w:tcPr>
          <w:p>
            <w:pPr>
              <w:pStyle w:val="23"/>
              <w:spacing w:line="560" w:lineRule="exact"/>
              <w:ind w:firstLine="0" w:firstLineChars="0"/>
              <w:jc w:val="center"/>
              <w:rPr>
                <w:rFonts w:ascii="仿宋_GB2312" w:hAnsi="黑体" w:eastAsia="仿宋_GB2312" w:cs="Times New Roman"/>
                <w:sz w:val="28"/>
                <w:szCs w:val="28"/>
              </w:rPr>
            </w:pPr>
            <w:r>
              <w:rPr>
                <w:rFonts w:hint="eastAsia" w:ascii="仿宋_GB2312" w:hAnsi="黑体" w:eastAsia="仿宋_GB2312" w:cs="Times New Roman"/>
                <w:sz w:val="28"/>
                <w:szCs w:val="28"/>
              </w:rPr>
              <w:t>二、采购类别</w:t>
            </w:r>
          </w:p>
        </w:tc>
        <w:tc>
          <w:tcPr>
            <w:tcW w:w="2532" w:type="dxa"/>
            <w:vMerge w:val="restart"/>
            <w:tcBorders>
              <w:right w:val="single" w:color="auto" w:sz="4" w:space="0"/>
            </w:tcBorders>
            <w:noWrap w:val="0"/>
            <w:vAlign w:val="center"/>
          </w:tcPr>
          <w:p>
            <w:pPr>
              <w:pStyle w:val="23"/>
              <w:spacing w:line="560" w:lineRule="exact"/>
              <w:ind w:firstLine="0" w:firstLineChars="0"/>
              <w:jc w:val="center"/>
              <w:rPr>
                <w:rFonts w:ascii="仿宋_GB2312" w:hAnsi="黑体" w:eastAsia="仿宋_GB2312" w:cs="Times New Roman"/>
                <w:sz w:val="28"/>
                <w:szCs w:val="28"/>
              </w:rPr>
            </w:pPr>
            <w:r>
              <w:rPr>
                <w:rFonts w:hint="eastAsia" w:ascii="仿宋_GB2312" w:hAnsi="黑体" w:eastAsia="仿宋_GB2312" w:cs="Times New Roman"/>
                <w:sz w:val="28"/>
                <w:szCs w:val="28"/>
              </w:rPr>
              <w:sym w:font="Wingdings 2" w:char="00A3"/>
            </w:r>
            <w:r>
              <w:rPr>
                <w:rFonts w:ascii="仿宋_GB2312" w:hAnsi="黑体" w:eastAsia="仿宋_GB2312" w:cs="Times New Roman"/>
                <w:sz w:val="28"/>
                <w:szCs w:val="28"/>
              </w:rPr>
              <w:t>工程</w:t>
            </w:r>
          </w:p>
          <w:p>
            <w:pPr>
              <w:pStyle w:val="23"/>
              <w:spacing w:line="560" w:lineRule="exact"/>
              <w:ind w:firstLine="0" w:firstLineChars="0"/>
              <w:jc w:val="center"/>
              <w:rPr>
                <w:rFonts w:ascii="仿宋_GB2312" w:hAnsi="黑体" w:eastAsia="仿宋_GB2312" w:cs="Times New Roman"/>
                <w:sz w:val="28"/>
                <w:szCs w:val="28"/>
              </w:rPr>
            </w:pPr>
            <w:r>
              <w:rPr>
                <w:rFonts w:hint="eastAsia" w:ascii="仿宋_GB2312" w:hAnsi="黑体" w:eastAsia="仿宋_GB2312" w:cs="Times New Roman"/>
                <w:sz w:val="28"/>
                <w:szCs w:val="28"/>
              </w:rPr>
              <w:t>□物资</w:t>
            </w:r>
          </w:p>
          <w:p>
            <w:pPr>
              <w:pStyle w:val="23"/>
              <w:spacing w:line="560" w:lineRule="exact"/>
              <w:ind w:firstLine="0" w:firstLineChars="0"/>
              <w:jc w:val="center"/>
              <w:rPr>
                <w:rFonts w:ascii="仿宋_GB2312" w:hAnsi="黑体" w:eastAsia="仿宋_GB2312" w:cs="Times New Roman"/>
                <w:sz w:val="28"/>
                <w:szCs w:val="28"/>
              </w:rPr>
            </w:pPr>
            <w:r>
              <w:rPr>
                <w:rFonts w:hint="eastAsia" w:ascii="仿宋_GB2312" w:hAnsi="黑体" w:eastAsia="仿宋_GB2312" w:cs="Times New Roman"/>
                <w:sz w:val="28"/>
                <w:szCs w:val="28"/>
              </w:rPr>
              <w:sym w:font="Wingdings 2" w:char="0052"/>
            </w:r>
            <w:r>
              <w:rPr>
                <w:rFonts w:hint="eastAsia" w:ascii="仿宋_GB2312" w:hAnsi="黑体" w:eastAsia="仿宋_GB2312" w:cs="Times New Roman"/>
                <w:sz w:val="28"/>
                <w:szCs w:val="28"/>
              </w:rPr>
              <w:t>服务</w:t>
            </w:r>
          </w:p>
        </w:tc>
        <w:tc>
          <w:tcPr>
            <w:tcW w:w="2551" w:type="dxa"/>
            <w:tcBorders>
              <w:left w:val="single" w:color="auto" w:sz="4" w:space="0"/>
              <w:right w:val="single" w:color="auto" w:sz="4" w:space="0"/>
            </w:tcBorders>
            <w:noWrap w:val="0"/>
            <w:vAlign w:val="center"/>
          </w:tcPr>
          <w:p>
            <w:pPr>
              <w:pStyle w:val="23"/>
              <w:spacing w:line="560" w:lineRule="exact"/>
              <w:ind w:firstLine="0" w:firstLineChars="0"/>
              <w:jc w:val="center"/>
              <w:rPr>
                <w:rFonts w:ascii="仿宋_GB2312" w:hAnsi="黑体" w:eastAsia="仿宋_GB2312" w:cs="Times New Roman"/>
                <w:sz w:val="28"/>
                <w:szCs w:val="28"/>
              </w:rPr>
            </w:pPr>
            <w:r>
              <w:rPr>
                <w:rFonts w:hint="eastAsia" w:ascii="仿宋_GB2312" w:hAnsi="黑体" w:eastAsia="仿宋_GB2312" w:cs="Times New Roman"/>
                <w:sz w:val="28"/>
                <w:szCs w:val="28"/>
              </w:rPr>
              <w:t>投资概算</w:t>
            </w:r>
          </w:p>
          <w:p>
            <w:pPr>
              <w:pStyle w:val="23"/>
              <w:spacing w:line="560" w:lineRule="exact"/>
              <w:ind w:firstLine="0" w:firstLineChars="0"/>
              <w:jc w:val="center"/>
              <w:rPr>
                <w:rFonts w:ascii="仿宋_GB2312" w:hAnsi="黑体" w:eastAsia="仿宋_GB2312" w:cs="Times New Roman"/>
                <w:sz w:val="28"/>
                <w:szCs w:val="28"/>
              </w:rPr>
            </w:pPr>
            <w:r>
              <w:rPr>
                <w:rFonts w:hint="eastAsia" w:ascii="仿宋_GB2312" w:hAnsi="黑体" w:eastAsia="仿宋_GB2312" w:cs="Times New Roman"/>
                <w:sz w:val="28"/>
                <w:szCs w:val="28"/>
              </w:rPr>
              <w:t>（万元）</w:t>
            </w:r>
          </w:p>
        </w:tc>
        <w:tc>
          <w:tcPr>
            <w:tcW w:w="2439" w:type="dxa"/>
            <w:tcBorders>
              <w:left w:val="single" w:color="auto" w:sz="4" w:space="0"/>
            </w:tcBorders>
            <w:noWrap w:val="0"/>
            <w:vAlign w:val="center"/>
          </w:tcPr>
          <w:p>
            <w:pPr>
              <w:pStyle w:val="23"/>
              <w:spacing w:line="560" w:lineRule="exact"/>
              <w:ind w:firstLine="0" w:firstLineChars="0"/>
              <w:jc w:val="center"/>
              <w:rPr>
                <w:rFonts w:hint="default" w:ascii="仿宋_GB2312" w:hAnsi="黑体" w:eastAsia="仿宋_GB2312" w:cs="Times New Roman"/>
                <w:sz w:val="28"/>
                <w:szCs w:val="28"/>
                <w:lang w:val="en-US" w:eastAsia="zh-CN"/>
              </w:rPr>
            </w:pPr>
            <w:r>
              <w:rPr>
                <w:rFonts w:hint="eastAsia" w:ascii="仿宋_GB2312" w:hAnsi="黑体" w:eastAsia="仿宋_GB2312" w:cs="Times New Roman"/>
                <w:sz w:val="28"/>
                <w:szCs w:val="28"/>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7" w:hRule="atLeast"/>
          <w:jc w:val="center"/>
        </w:trPr>
        <w:tc>
          <w:tcPr>
            <w:tcW w:w="2349" w:type="dxa"/>
            <w:vMerge w:val="continue"/>
            <w:noWrap w:val="0"/>
            <w:vAlign w:val="center"/>
          </w:tcPr>
          <w:p>
            <w:pPr>
              <w:pStyle w:val="23"/>
              <w:spacing w:line="560" w:lineRule="exact"/>
              <w:ind w:firstLine="0" w:firstLineChars="0"/>
              <w:jc w:val="center"/>
              <w:rPr>
                <w:rFonts w:ascii="仿宋_GB2312" w:hAnsi="黑体" w:eastAsia="仿宋_GB2312" w:cs="Times New Roman"/>
                <w:sz w:val="28"/>
                <w:szCs w:val="28"/>
              </w:rPr>
            </w:pPr>
          </w:p>
        </w:tc>
        <w:tc>
          <w:tcPr>
            <w:tcW w:w="2532" w:type="dxa"/>
            <w:vMerge w:val="continue"/>
            <w:tcBorders>
              <w:right w:val="single" w:color="auto" w:sz="4" w:space="0"/>
            </w:tcBorders>
            <w:noWrap w:val="0"/>
            <w:vAlign w:val="center"/>
          </w:tcPr>
          <w:p>
            <w:pPr>
              <w:pStyle w:val="23"/>
              <w:spacing w:line="560" w:lineRule="exact"/>
              <w:ind w:firstLine="0" w:firstLineChars="0"/>
              <w:rPr>
                <w:rFonts w:ascii="仿宋_GB2312" w:hAnsi="黑体" w:eastAsia="仿宋_GB2312" w:cs="Times New Roman"/>
                <w:sz w:val="28"/>
                <w:szCs w:val="28"/>
              </w:rPr>
            </w:pPr>
          </w:p>
        </w:tc>
        <w:tc>
          <w:tcPr>
            <w:tcW w:w="2551" w:type="dxa"/>
            <w:tcBorders>
              <w:left w:val="single" w:color="auto" w:sz="4" w:space="0"/>
              <w:right w:val="single" w:color="auto" w:sz="4" w:space="0"/>
            </w:tcBorders>
            <w:noWrap w:val="0"/>
            <w:vAlign w:val="center"/>
          </w:tcPr>
          <w:p>
            <w:pPr>
              <w:pStyle w:val="23"/>
              <w:spacing w:line="560" w:lineRule="exact"/>
              <w:ind w:firstLine="0" w:firstLineChars="0"/>
              <w:jc w:val="center"/>
              <w:rPr>
                <w:rFonts w:ascii="仿宋_GB2312" w:hAnsi="黑体" w:eastAsia="仿宋_GB2312" w:cs="Times New Roman"/>
                <w:sz w:val="28"/>
                <w:szCs w:val="28"/>
              </w:rPr>
            </w:pPr>
            <w:r>
              <w:rPr>
                <w:rFonts w:hint="eastAsia" w:ascii="仿宋_GB2312" w:hAnsi="黑体" w:eastAsia="仿宋_GB2312" w:cs="Times New Roman"/>
                <w:sz w:val="28"/>
                <w:szCs w:val="28"/>
              </w:rPr>
              <w:t>采购控制价</w:t>
            </w:r>
          </w:p>
          <w:p>
            <w:pPr>
              <w:pStyle w:val="23"/>
              <w:spacing w:line="560" w:lineRule="exact"/>
              <w:ind w:firstLine="0" w:firstLineChars="0"/>
              <w:jc w:val="center"/>
              <w:rPr>
                <w:rFonts w:ascii="仿宋_GB2312" w:hAnsi="黑体" w:eastAsia="仿宋_GB2312" w:cs="Times New Roman"/>
                <w:sz w:val="28"/>
                <w:szCs w:val="28"/>
              </w:rPr>
            </w:pPr>
            <w:r>
              <w:rPr>
                <w:rFonts w:hint="eastAsia" w:ascii="仿宋_GB2312" w:hAnsi="黑体" w:eastAsia="仿宋_GB2312" w:cs="Times New Roman"/>
                <w:sz w:val="28"/>
                <w:szCs w:val="28"/>
              </w:rPr>
              <w:t>（万元）</w:t>
            </w:r>
          </w:p>
        </w:tc>
        <w:tc>
          <w:tcPr>
            <w:tcW w:w="2439" w:type="dxa"/>
            <w:tcBorders>
              <w:left w:val="single" w:color="auto" w:sz="4" w:space="0"/>
            </w:tcBorders>
            <w:noWrap w:val="0"/>
            <w:vAlign w:val="center"/>
          </w:tcPr>
          <w:p>
            <w:pPr>
              <w:pStyle w:val="23"/>
              <w:spacing w:line="560" w:lineRule="exact"/>
              <w:ind w:firstLine="0" w:firstLineChars="0"/>
              <w:jc w:val="center"/>
              <w:rPr>
                <w:rFonts w:hint="default" w:ascii="仿宋_GB2312" w:hAnsi="黑体" w:eastAsia="仿宋_GB2312" w:cs="Times New Roman"/>
                <w:sz w:val="28"/>
                <w:szCs w:val="28"/>
                <w:lang w:val="en-US" w:eastAsia="zh-CN"/>
              </w:rPr>
            </w:pPr>
            <w:r>
              <w:rPr>
                <w:rFonts w:hint="eastAsia" w:ascii="仿宋_GB2312" w:hAnsi="黑体" w:eastAsia="仿宋_GB2312" w:cs="Times New Roman"/>
                <w:sz w:val="28"/>
                <w:szCs w:val="28"/>
                <w:lang w:val="en-US" w:eastAsia="zh-CN"/>
              </w:rPr>
              <w:t>9.85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9871" w:type="dxa"/>
            <w:gridSpan w:val="4"/>
            <w:noWrap w:val="0"/>
            <w:vAlign w:val="top"/>
          </w:tcPr>
          <w:p>
            <w:pPr>
              <w:pStyle w:val="23"/>
              <w:spacing w:line="560" w:lineRule="exact"/>
              <w:ind w:firstLine="0" w:firstLineChars="0"/>
              <w:jc w:val="left"/>
              <w:rPr>
                <w:rFonts w:ascii="仿宋_GB2312" w:hAnsi="黑体" w:eastAsia="仿宋_GB2312" w:cs="Times New Roman"/>
                <w:sz w:val="28"/>
                <w:szCs w:val="28"/>
              </w:rPr>
            </w:pPr>
            <w:r>
              <w:rPr>
                <w:rFonts w:hint="eastAsia" w:ascii="仿宋_GB2312" w:hAnsi="黑体" w:eastAsia="仿宋_GB2312" w:cs="Times New Roman"/>
                <w:sz w:val="28"/>
                <w:szCs w:val="28"/>
              </w:rPr>
              <w:t>三、项目概况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5" w:hRule="atLeast"/>
          <w:jc w:val="center"/>
        </w:trPr>
        <w:tc>
          <w:tcPr>
            <w:tcW w:w="9871" w:type="dxa"/>
            <w:gridSpan w:val="4"/>
            <w:noWrap w:val="0"/>
            <w:vAlign w:val="top"/>
          </w:tcPr>
          <w:p>
            <w:pPr>
              <w:pStyle w:val="23"/>
              <w:keepNext w:val="0"/>
              <w:keepLines w:val="0"/>
              <w:pageBreakBefore w:val="0"/>
              <w:widowControl w:val="0"/>
              <w:kinsoku/>
              <w:wordWrap/>
              <w:overflowPunct/>
              <w:topLinePunct w:val="0"/>
              <w:autoSpaceDE/>
              <w:autoSpaceDN/>
              <w:bidi w:val="0"/>
              <w:adjustRightInd/>
              <w:snapToGrid/>
              <w:spacing w:line="460" w:lineRule="exact"/>
              <w:ind w:firstLine="560" w:firstLineChars="200"/>
              <w:jc w:val="left"/>
              <w:textAlignment w:val="auto"/>
              <w:rPr>
                <w:rFonts w:hint="eastAsia" w:ascii="仿宋_GB2312" w:hAnsi="黑体" w:eastAsia="仿宋_GB2312" w:cs="Times New Roman"/>
                <w:sz w:val="28"/>
                <w:szCs w:val="28"/>
                <w:lang w:eastAsia="zh-CN"/>
              </w:rPr>
            </w:pPr>
            <w:r>
              <w:rPr>
                <w:rFonts w:hint="eastAsia" w:ascii="仿宋" w:hAnsi="仿宋" w:eastAsia="仿宋" w:cs="仿宋"/>
                <w:sz w:val="28"/>
                <w:szCs w:val="28"/>
                <w:lang w:val="en-US" w:eastAsia="zh-CN"/>
              </w:rPr>
              <w:t>续保、升级现有安全设备，实施安全托管服务，增加服务资产数，将公司所有信息系统纳入安全管理范围内，通过7*24小时安全托管运营服务，定期通报网络安全监控日志，实时分析发现安全风险和问题，实施方的网络专家要协同本地工程师进行网络安全管理，完善现有的安全防护体系，保障实现最佳安全防护效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71" w:type="dxa"/>
            <w:gridSpan w:val="4"/>
            <w:noWrap w:val="0"/>
            <w:vAlign w:val="top"/>
          </w:tcPr>
          <w:p>
            <w:pPr>
              <w:pStyle w:val="23"/>
              <w:spacing w:line="560" w:lineRule="exact"/>
              <w:ind w:firstLine="0" w:firstLineChars="0"/>
              <w:jc w:val="left"/>
              <w:rPr>
                <w:rFonts w:ascii="仿宋_GB2312" w:hAnsi="黑体" w:eastAsia="仿宋_GB2312" w:cs="Times New Roman"/>
                <w:sz w:val="28"/>
                <w:szCs w:val="28"/>
              </w:rPr>
            </w:pPr>
            <w:r>
              <w:rPr>
                <w:rFonts w:hint="eastAsia" w:ascii="仿宋_GB2312" w:hAnsi="黑体" w:eastAsia="仿宋_GB2312" w:cs="Times New Roman"/>
                <w:sz w:val="28"/>
                <w:szCs w:val="28"/>
              </w:rPr>
              <w:t>四、资质要求（工程采购）/功能需求（物采购资）</w:t>
            </w:r>
            <w:r>
              <w:rPr>
                <w:rFonts w:ascii="仿宋_GB2312" w:hAnsi="黑体" w:eastAsia="仿宋_GB2312" w:cs="Times New Roman"/>
                <w:sz w:val="28"/>
                <w:szCs w:val="28"/>
              </w:rPr>
              <w:t>/</w:t>
            </w:r>
            <w:r>
              <w:rPr>
                <w:rFonts w:hint="eastAsia" w:ascii="仿宋_GB2312" w:hAnsi="黑体" w:eastAsia="仿宋_GB2312" w:cs="Times New Roman"/>
                <w:sz w:val="28"/>
                <w:szCs w:val="28"/>
              </w:rPr>
              <w:t>服务需求（服务采购）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0" w:hRule="atLeast"/>
          <w:jc w:val="center"/>
        </w:trPr>
        <w:tc>
          <w:tcPr>
            <w:tcW w:w="9871" w:type="dxa"/>
            <w:gridSpan w:val="4"/>
            <w:noWrap w:val="0"/>
            <w:vAlign w:val="top"/>
          </w:tcPr>
          <w:p>
            <w:pPr>
              <w:pStyle w:val="23"/>
              <w:keepNext w:val="0"/>
              <w:keepLines w:val="0"/>
              <w:pageBreakBefore w:val="0"/>
              <w:widowControl w:val="0"/>
              <w:kinsoku/>
              <w:wordWrap/>
              <w:overflowPunct/>
              <w:topLinePunct w:val="0"/>
              <w:autoSpaceDE/>
              <w:autoSpaceDN/>
              <w:bidi w:val="0"/>
              <w:adjustRightInd/>
              <w:snapToGrid/>
              <w:spacing w:line="460" w:lineRule="exact"/>
              <w:ind w:firstLine="560" w:firstLineChars="200"/>
              <w:jc w:val="left"/>
              <w:textAlignment w:val="auto"/>
              <w:rPr>
                <w:rFonts w:ascii="仿宋_GB2312" w:hAnsi="黑体" w:eastAsia="仿宋_GB2312" w:cs="Times New Roman"/>
                <w:sz w:val="28"/>
                <w:szCs w:val="28"/>
              </w:rPr>
            </w:pPr>
            <w:r>
              <w:rPr>
                <w:rFonts w:hint="eastAsia" w:ascii="仿宋_GB2312" w:hAnsi="黑体" w:eastAsia="仿宋_GB2312" w:cs="Times New Roman"/>
                <w:b w:val="0"/>
                <w:bCs w:val="0"/>
                <w:color w:val="auto"/>
                <w:sz w:val="28"/>
                <w:szCs w:val="28"/>
                <w:highlight w:val="none"/>
                <w:lang w:val="en-US" w:eastAsia="zh-CN"/>
              </w:rPr>
              <w:t>具备网络安全防护方面运营、监管、调试、功能实现的资质。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71" w:type="dxa"/>
            <w:gridSpan w:val="4"/>
            <w:noWrap w:val="0"/>
            <w:vAlign w:val="top"/>
          </w:tcPr>
          <w:p>
            <w:pPr>
              <w:pStyle w:val="23"/>
              <w:spacing w:line="560" w:lineRule="exact"/>
              <w:ind w:firstLine="0" w:firstLineChars="0"/>
              <w:jc w:val="left"/>
              <w:rPr>
                <w:rFonts w:ascii="仿宋_GB2312" w:hAnsi="黑体" w:eastAsia="仿宋_GB2312" w:cs="Times New Roman"/>
                <w:sz w:val="28"/>
                <w:szCs w:val="28"/>
              </w:rPr>
            </w:pPr>
            <w:r>
              <w:rPr>
                <w:rFonts w:hint="eastAsia" w:ascii="仿宋_GB2312" w:hAnsi="黑体" w:eastAsia="仿宋_GB2312" w:cs="Times New Roman"/>
                <w:sz w:val="28"/>
                <w:szCs w:val="28"/>
              </w:rPr>
              <w:t>五、技术性能指标、配置及数量要求（物资采购）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0" w:hRule="atLeast"/>
          <w:jc w:val="center"/>
        </w:trPr>
        <w:tc>
          <w:tcPr>
            <w:tcW w:w="9871" w:type="dxa"/>
            <w:gridSpan w:val="4"/>
            <w:noWrap w:val="0"/>
            <w:vAlign w:val="top"/>
          </w:tcPr>
          <w:p>
            <w:pPr>
              <w:pStyle w:val="23"/>
              <w:keepNext w:val="0"/>
              <w:keepLines w:val="0"/>
              <w:pageBreakBefore w:val="0"/>
              <w:widowControl w:val="0"/>
              <w:kinsoku/>
              <w:wordWrap/>
              <w:overflowPunct/>
              <w:topLinePunct w:val="0"/>
              <w:autoSpaceDE/>
              <w:autoSpaceDN/>
              <w:bidi w:val="0"/>
              <w:adjustRightInd/>
              <w:snapToGrid/>
              <w:spacing w:line="460" w:lineRule="exact"/>
              <w:ind w:left="0" w:leftChars="0" w:firstLine="560" w:firstLineChars="200"/>
              <w:jc w:val="left"/>
              <w:textAlignment w:val="auto"/>
              <w:rPr>
                <w:rFonts w:hint="eastAsia" w:ascii="仿宋_GB2312" w:hAnsi="黑体" w:eastAsia="仿宋_GB2312" w:cs="Times New Roman"/>
                <w:sz w:val="28"/>
                <w:szCs w:val="2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71" w:type="dxa"/>
            <w:gridSpan w:val="4"/>
            <w:noWrap w:val="0"/>
            <w:vAlign w:val="top"/>
          </w:tcPr>
          <w:p>
            <w:pPr>
              <w:pStyle w:val="23"/>
              <w:spacing w:line="560" w:lineRule="exact"/>
              <w:ind w:firstLine="0" w:firstLineChars="0"/>
              <w:jc w:val="left"/>
              <w:rPr>
                <w:rFonts w:ascii="仿宋_GB2312" w:hAnsi="黑体" w:eastAsia="仿宋_GB2312" w:cs="Times New Roman"/>
                <w:sz w:val="28"/>
                <w:szCs w:val="28"/>
              </w:rPr>
            </w:pPr>
            <w:r>
              <w:rPr>
                <w:rFonts w:hint="eastAsia" w:ascii="仿宋_GB2312" w:hAnsi="黑体" w:eastAsia="仿宋_GB2312" w:cs="Times New Roman"/>
                <w:sz w:val="28"/>
                <w:szCs w:val="28"/>
              </w:rPr>
              <w:t>六、工期/交货期</w:t>
            </w:r>
            <w:r>
              <w:rPr>
                <w:rFonts w:ascii="仿宋_GB2312" w:hAnsi="黑体" w:eastAsia="仿宋_GB2312" w:cs="Times New Roman"/>
                <w:sz w:val="28"/>
                <w:szCs w:val="28"/>
              </w:rPr>
              <w:t>/</w:t>
            </w:r>
            <w:r>
              <w:rPr>
                <w:rFonts w:hint="eastAsia" w:ascii="仿宋_GB2312" w:hAnsi="黑体" w:eastAsia="仿宋_GB2312" w:cs="Times New Roman"/>
                <w:sz w:val="28"/>
                <w:szCs w:val="28"/>
              </w:rPr>
              <w:t>服务期需求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8" w:hRule="atLeast"/>
          <w:jc w:val="center"/>
        </w:trPr>
        <w:tc>
          <w:tcPr>
            <w:tcW w:w="9871" w:type="dxa"/>
            <w:gridSpan w:val="4"/>
            <w:noWrap w:val="0"/>
            <w:vAlign w:val="center"/>
          </w:tcPr>
          <w:p>
            <w:pPr>
              <w:pStyle w:val="23"/>
              <w:spacing w:line="560" w:lineRule="exact"/>
              <w:ind w:firstLine="560" w:firstLineChars="200"/>
              <w:jc w:val="left"/>
              <w:rPr>
                <w:rFonts w:ascii="仿宋_GB2312" w:hAnsi="黑体" w:eastAsia="仿宋_GB2312" w:cs="Times New Roman"/>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71" w:type="dxa"/>
            <w:gridSpan w:val="4"/>
            <w:noWrap w:val="0"/>
            <w:vAlign w:val="top"/>
          </w:tcPr>
          <w:p>
            <w:pPr>
              <w:pStyle w:val="23"/>
              <w:spacing w:line="560" w:lineRule="exact"/>
              <w:ind w:firstLine="0" w:firstLineChars="0"/>
              <w:jc w:val="left"/>
              <w:rPr>
                <w:rFonts w:ascii="仿宋_GB2312" w:hAnsi="黑体" w:eastAsia="仿宋_GB2312" w:cs="Times New Roman"/>
                <w:sz w:val="28"/>
                <w:szCs w:val="28"/>
              </w:rPr>
            </w:pPr>
            <w:r>
              <w:rPr>
                <w:rFonts w:hint="eastAsia" w:ascii="仿宋_GB2312" w:hAnsi="黑体" w:eastAsia="仿宋_GB2312" w:cs="Times New Roman"/>
                <w:sz w:val="28"/>
                <w:szCs w:val="28"/>
              </w:rPr>
              <w:t>七、质保期需求（物资采购）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9871" w:type="dxa"/>
            <w:gridSpan w:val="4"/>
            <w:noWrap w:val="0"/>
            <w:vAlign w:val="top"/>
          </w:tcPr>
          <w:p>
            <w:pPr>
              <w:pStyle w:val="23"/>
              <w:spacing w:line="560" w:lineRule="exact"/>
              <w:ind w:firstLine="560" w:firstLineChars="200"/>
              <w:jc w:val="left"/>
              <w:rPr>
                <w:rFonts w:hint="eastAsia" w:ascii="仿宋_GB2312" w:hAnsi="黑体" w:eastAsia="仿宋_GB2312" w:cs="Times New Roman"/>
                <w:sz w:val="28"/>
                <w:szCs w:val="2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71" w:type="dxa"/>
            <w:gridSpan w:val="4"/>
            <w:noWrap w:val="0"/>
            <w:vAlign w:val="top"/>
          </w:tcPr>
          <w:p>
            <w:pPr>
              <w:pStyle w:val="23"/>
              <w:spacing w:line="560" w:lineRule="exact"/>
              <w:ind w:firstLine="0" w:firstLineChars="0"/>
              <w:jc w:val="left"/>
              <w:rPr>
                <w:rFonts w:ascii="仿宋_GB2312" w:hAnsi="黑体" w:eastAsia="仿宋_GB2312" w:cs="Times New Roman"/>
                <w:sz w:val="28"/>
                <w:szCs w:val="28"/>
              </w:rPr>
            </w:pPr>
            <w:r>
              <w:rPr>
                <w:rFonts w:hint="eastAsia" w:ascii="仿宋_GB2312" w:hAnsi="黑体" w:eastAsia="仿宋_GB2312" w:cs="Times New Roman"/>
                <w:sz w:val="28"/>
                <w:szCs w:val="28"/>
              </w:rPr>
              <w:t>八、付款方式需求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8" w:hRule="atLeast"/>
          <w:jc w:val="center"/>
        </w:trPr>
        <w:tc>
          <w:tcPr>
            <w:tcW w:w="9871" w:type="dxa"/>
            <w:gridSpan w:val="4"/>
            <w:noWrap w:val="0"/>
            <w:vAlign w:val="center"/>
          </w:tcPr>
          <w:p>
            <w:pPr>
              <w:pStyle w:val="26"/>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60" w:firstLineChars="200"/>
              <w:textAlignment w:val="auto"/>
              <w:rPr>
                <w:rFonts w:ascii="宋体"/>
                <w:sz w:val="28"/>
                <w:szCs w:val="28"/>
              </w:rPr>
            </w:pPr>
            <w:r>
              <w:rPr>
                <w:rFonts w:hint="eastAsia" w:ascii="仿宋" w:hAnsi="仿宋" w:eastAsia="仿宋" w:cs="仿宋"/>
                <w:sz w:val="28"/>
                <w:szCs w:val="28"/>
                <w:lang w:val="en-US" w:eastAsia="zh-CN"/>
              </w:rPr>
              <w:t>付款方式为合同后签订后半年一支付，合同期自合同签订之日起一年。</w:t>
            </w:r>
          </w:p>
        </w:tc>
      </w:tr>
    </w:tbl>
    <w:p>
      <w:pPr>
        <w:pStyle w:val="12"/>
        <w:widowControl w:val="0"/>
        <w:tabs>
          <w:tab w:val="left" w:pos="0"/>
          <w:tab w:val="left" w:pos="1134"/>
        </w:tabs>
        <w:ind w:right="-107"/>
        <w:jc w:val="both"/>
        <w:rPr>
          <w:rFonts w:hint="default" w:eastAsia="宋体"/>
          <w:lang w:val="en-US" w:eastAsia="zh-CN"/>
        </w:rPr>
      </w:pPr>
      <w:r>
        <w:rPr>
          <w:rFonts w:hint="eastAsia" w:ascii="宋体" w:hAnsi="宋体" w:eastAsia="宋体" w:cs="宋体"/>
          <w:sz w:val="24"/>
          <w:szCs w:val="24"/>
          <w:lang w:val="en-US" w:eastAsia="zh-CN"/>
        </w:rPr>
        <w:t>附件</w:t>
      </w:r>
      <w:bookmarkStart w:id="6" w:name="_GoBack"/>
      <w:r>
        <w:rPr>
          <w:rFonts w:hint="eastAsia" w:ascii="宋体" w:hAnsi="宋体" w:eastAsia="宋体" w:cs="宋体"/>
          <w:sz w:val="24"/>
          <w:szCs w:val="24"/>
          <w:lang w:val="en-US" w:eastAsia="zh-CN"/>
        </w:rPr>
        <w:t>1</w:t>
      </w:r>
      <w:bookmarkEnd w:id="6"/>
      <w:r>
        <w:rPr>
          <w:rFonts w:hint="eastAsia" w:ascii="宋体" w:hAnsi="宋体" w:eastAsia="宋体" w:cs="宋体"/>
          <w:sz w:val="24"/>
          <w:szCs w:val="24"/>
          <w:lang w:val="en-US" w:eastAsia="zh-CN"/>
        </w:rPr>
        <w:t>：</w:t>
      </w:r>
      <w:r>
        <w:rPr>
          <w:rFonts w:ascii="仿宋" w:hAnsi="仿宋" w:eastAsia="仿宋"/>
          <w:color w:val="000000" w:themeColor="text1"/>
          <w:sz w:val="32"/>
          <w:szCs w:val="32"/>
          <w14:textFill>
            <w14:solidFill>
              <w14:schemeClr w14:val="tx1"/>
            </w14:solidFill>
          </w14:textFill>
        </w:rPr>
        <w:t>报价明细表</w:t>
      </w:r>
    </w:p>
    <w:p>
      <w:pPr>
        <w:jc w:val="center"/>
        <w:rPr>
          <w:rFonts w:hint="eastAsia" w:ascii="宋体" w:hAnsi="宋体" w:eastAsia="宋体" w:cs="宋体"/>
          <w:sz w:val="18"/>
          <w:szCs w:val="18"/>
          <w:lang w:val="en-US" w:eastAsia="zh-CN"/>
        </w:rPr>
      </w:pPr>
    </w:p>
    <w:tbl>
      <w:tblPr>
        <w:tblStyle w:val="25"/>
        <w:tblW w:w="500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37"/>
        <w:gridCol w:w="1036"/>
        <w:gridCol w:w="5084"/>
        <w:gridCol w:w="738"/>
        <w:gridCol w:w="769"/>
        <w:gridCol w:w="9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blHeader/>
        </w:trPr>
        <w:tc>
          <w:tcPr>
            <w:tcW w:w="446" w:type="pct"/>
            <w:tcBorders>
              <w:top w:val="single" w:color="000000" w:sz="2" w:space="0"/>
              <w:bottom w:val="single" w:color="000000" w:sz="2" w:space="0"/>
            </w:tcBorders>
            <w:shd w:val="clear" w:color="auto" w:fill="F1F1F1" w:themeFill="background1" w:themeFillShade="F2"/>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序号</w:t>
            </w:r>
          </w:p>
        </w:tc>
        <w:tc>
          <w:tcPr>
            <w:tcW w:w="552" w:type="pct"/>
            <w:tcBorders>
              <w:top w:val="single" w:color="000000" w:sz="2" w:space="0"/>
              <w:bottom w:val="single" w:color="000000" w:sz="2" w:space="0"/>
            </w:tcBorders>
            <w:shd w:val="clear" w:color="auto" w:fill="F1F1F1" w:themeFill="background1" w:themeFillShade="F2"/>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名称</w:t>
            </w:r>
          </w:p>
        </w:tc>
        <w:tc>
          <w:tcPr>
            <w:tcW w:w="2709" w:type="pct"/>
            <w:tcBorders>
              <w:top w:val="single" w:color="000000" w:sz="2" w:space="0"/>
              <w:bottom w:val="single" w:color="000000" w:sz="2" w:space="0"/>
            </w:tcBorders>
            <w:shd w:val="clear" w:color="auto" w:fill="F1F1F1" w:themeFill="background1" w:themeFillShade="F2"/>
            <w:vAlign w:val="top"/>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描述</w:t>
            </w:r>
          </w:p>
        </w:tc>
        <w:tc>
          <w:tcPr>
            <w:tcW w:w="393" w:type="pct"/>
            <w:tcBorders>
              <w:top w:val="single" w:color="000000" w:sz="2" w:space="0"/>
              <w:bottom w:val="single" w:color="000000" w:sz="2" w:space="0"/>
            </w:tcBorders>
            <w:shd w:val="clear" w:color="auto" w:fill="F1F1F1" w:themeFill="background1" w:themeFillShade="F2"/>
            <w:vAlign w:val="top"/>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数量</w:t>
            </w:r>
          </w:p>
        </w:tc>
        <w:tc>
          <w:tcPr>
            <w:tcW w:w="410" w:type="pct"/>
            <w:tcBorders>
              <w:top w:val="single" w:color="000000" w:sz="2" w:space="0"/>
              <w:bottom w:val="single" w:color="000000" w:sz="2" w:space="0"/>
            </w:tcBorders>
            <w:shd w:val="clear" w:color="auto" w:fill="F1F1F1" w:themeFill="background1" w:themeFillShade="F2"/>
            <w:vAlign w:val="top"/>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单位</w:t>
            </w:r>
          </w:p>
        </w:tc>
        <w:tc>
          <w:tcPr>
            <w:tcW w:w="488" w:type="pct"/>
            <w:tcBorders>
              <w:top w:val="single" w:color="000000" w:sz="2" w:space="0"/>
              <w:bottom w:val="single" w:color="000000" w:sz="2" w:space="0"/>
            </w:tcBorders>
            <w:shd w:val="clear" w:color="auto" w:fill="F1F1F1" w:themeFill="background1" w:themeFillShade="F2"/>
            <w:vAlign w:val="top"/>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46" w:type="pct"/>
            <w:vMerge w:val="restart"/>
            <w:tcBorders>
              <w:top w:val="single" w:color="000000" w:sz="2" w:space="0"/>
            </w:tcBorders>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552" w:type="pct"/>
            <w:vMerge w:val="restart"/>
            <w:tcBorders>
              <w:top w:val="single" w:color="000000" w:sz="2" w:space="0"/>
            </w:tcBorders>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安全托管</w:t>
            </w: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服务</w:t>
            </w: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MSS-20</w:t>
            </w: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深信服</w:t>
            </w: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原厂服务</w:t>
            </w:r>
          </w:p>
        </w:tc>
        <w:tc>
          <w:tcPr>
            <w:tcW w:w="2709" w:type="pct"/>
            <w:tcBorders>
              <w:top w:val="single" w:color="000000" w:sz="2" w:space="0"/>
              <w:bottom w:val="single" w:color="000000" w:sz="2" w:space="0"/>
            </w:tcBorders>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服务概述：安全运营服务以保障网络安全“持续有效”为目标，围绕资产、漏洞、威胁、事件四个要素，通过云端安全运营中心和安全专家团队有效协同的“人机共智”模式7*24H持续性开展网络安全保障工作，与用户一同构建持续（7*24小时）、主动、闭环的安全运营体系。</w:t>
            </w:r>
          </w:p>
        </w:tc>
        <w:tc>
          <w:tcPr>
            <w:tcW w:w="393" w:type="pct"/>
            <w:vMerge w:val="restart"/>
            <w:tcBorders>
              <w:top w:val="single" w:color="000000" w:sz="2" w:space="0"/>
            </w:tcBorders>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410" w:type="pct"/>
            <w:vMerge w:val="restart"/>
            <w:tcBorders>
              <w:top w:val="single" w:color="000000" w:sz="2" w:space="0"/>
            </w:tcBorders>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年</w:t>
            </w:r>
          </w:p>
        </w:tc>
        <w:tc>
          <w:tcPr>
            <w:tcW w:w="488" w:type="pct"/>
            <w:vMerge w:val="restart"/>
            <w:tcBorders>
              <w:top w:val="single" w:color="000000" w:sz="2" w:space="0"/>
            </w:tcBorders>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7*24</w:t>
            </w: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安全服务</w:t>
            </w:r>
          </w:p>
          <w:p>
            <w:pPr>
              <w:jc w:val="center"/>
              <w:rPr>
                <w:rFonts w:hint="eastAsia" w:ascii="宋体" w:hAnsi="宋体" w:eastAsia="宋体" w:cs="宋体"/>
                <w:sz w:val="18"/>
                <w:szCs w:val="18"/>
                <w:lang w:val="en-US" w:eastAsia="zh-CN"/>
              </w:rPr>
            </w:pPr>
          </w:p>
          <w:p>
            <w:pPr>
              <w:jc w:val="center"/>
              <w:rPr>
                <w:rFonts w:hint="eastAsia" w:ascii="宋体" w:hAnsi="宋体" w:eastAsia="宋体" w:cs="宋体"/>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46" w:type="pct"/>
            <w:vMerge w:val="continue"/>
            <w:vAlign w:val="center"/>
          </w:tcPr>
          <w:p>
            <w:pPr>
              <w:jc w:val="center"/>
              <w:rPr>
                <w:rFonts w:hint="eastAsia" w:ascii="宋体" w:hAnsi="宋体" w:eastAsia="宋体" w:cs="宋体"/>
                <w:sz w:val="18"/>
                <w:szCs w:val="18"/>
                <w:lang w:val="en-US" w:eastAsia="zh-CN"/>
              </w:rPr>
            </w:pPr>
          </w:p>
        </w:tc>
        <w:tc>
          <w:tcPr>
            <w:tcW w:w="552" w:type="pct"/>
            <w:vMerge w:val="continue"/>
          </w:tcPr>
          <w:p>
            <w:pPr>
              <w:jc w:val="center"/>
              <w:rPr>
                <w:rFonts w:hint="eastAsia" w:ascii="宋体" w:hAnsi="宋体" w:eastAsia="宋体" w:cs="宋体"/>
                <w:sz w:val="18"/>
                <w:szCs w:val="18"/>
                <w:lang w:val="en-US" w:eastAsia="zh-CN"/>
              </w:rPr>
            </w:pPr>
          </w:p>
        </w:tc>
        <w:tc>
          <w:tcPr>
            <w:tcW w:w="2709" w:type="pct"/>
            <w:tcBorders>
              <w:top w:val="single" w:color="000000" w:sz="2" w:space="0"/>
              <w:bottom w:val="single" w:color="000000" w:sz="2" w:space="0"/>
            </w:tcBorders>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服务内容（1）运营准备阶段</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1.1、上线前策略检查：上线前安全专家对安全组件上的安全策略进行统一检查，确保安全组件上的安全策略始终处于最优水平，针对威胁能起到最好的防护效果。</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1.2、资产管理</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资产收集与录入：安全专家对服务资产进行收集，并将资产信息录入到安全运营平台中进行管理。</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资产指纹探测：持续服务过程中安全专家定期对资产进行指纹（操作系统、中间件、软件厂商等信息）探测，并对指纹信息进行确认与更新，确保深信服安全运营中心中资产指纹信息的准确性和全面性。</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资产变更管理：持续服务过程中安全专家定期对资产进行存活性探测，当发现未存活资产或资产发生变更时，安全专家对变更信息进行确认与更新，确保深信服安全运营中心中资产信息的准确性和全面性。</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1.3、安全现状评估与处置</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对服务资产内漏洞问题、策略配置隐患问题进行归纳汇总。针对发现的问题提供修复方案与协助处理</w:t>
            </w:r>
          </w:p>
        </w:tc>
        <w:tc>
          <w:tcPr>
            <w:tcW w:w="393" w:type="pct"/>
            <w:vMerge w:val="continue"/>
          </w:tcPr>
          <w:p>
            <w:pPr>
              <w:rPr>
                <w:rFonts w:hint="eastAsia" w:ascii="宋体" w:hAnsi="宋体" w:eastAsia="宋体" w:cs="宋体"/>
                <w:sz w:val="18"/>
                <w:szCs w:val="18"/>
                <w:lang w:val="en-US" w:eastAsia="zh-CN"/>
              </w:rPr>
            </w:pPr>
          </w:p>
        </w:tc>
        <w:tc>
          <w:tcPr>
            <w:tcW w:w="410" w:type="pct"/>
            <w:vMerge w:val="continue"/>
          </w:tcPr>
          <w:p>
            <w:pPr>
              <w:rPr>
                <w:rFonts w:hint="eastAsia" w:ascii="宋体" w:hAnsi="宋体" w:eastAsia="宋体" w:cs="宋体"/>
                <w:sz w:val="18"/>
                <w:szCs w:val="18"/>
                <w:lang w:val="en-US" w:eastAsia="zh-CN"/>
              </w:rPr>
            </w:pPr>
          </w:p>
        </w:tc>
        <w:tc>
          <w:tcPr>
            <w:tcW w:w="488" w:type="pct"/>
            <w:vMerge w:val="continue"/>
          </w:tcPr>
          <w:p>
            <w:pPr>
              <w:rPr>
                <w:rFonts w:hint="eastAsia" w:ascii="宋体" w:hAnsi="宋体" w:eastAsia="宋体" w:cs="宋体"/>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46" w:type="pct"/>
            <w:vMerge w:val="continue"/>
            <w:vAlign w:val="center"/>
          </w:tcPr>
          <w:p>
            <w:pPr>
              <w:jc w:val="center"/>
              <w:rPr>
                <w:rFonts w:hint="eastAsia" w:ascii="宋体" w:hAnsi="宋体" w:eastAsia="宋体" w:cs="宋体"/>
                <w:sz w:val="18"/>
                <w:szCs w:val="18"/>
                <w:lang w:val="en-US" w:eastAsia="zh-CN"/>
              </w:rPr>
            </w:pPr>
          </w:p>
        </w:tc>
        <w:tc>
          <w:tcPr>
            <w:tcW w:w="552" w:type="pct"/>
            <w:vMerge w:val="continue"/>
          </w:tcPr>
          <w:p>
            <w:pPr>
              <w:jc w:val="center"/>
              <w:rPr>
                <w:rFonts w:hint="eastAsia" w:ascii="宋体" w:hAnsi="宋体" w:eastAsia="宋体" w:cs="宋体"/>
                <w:sz w:val="18"/>
                <w:szCs w:val="18"/>
                <w:lang w:val="en-US" w:eastAsia="zh-CN"/>
              </w:rPr>
            </w:pPr>
          </w:p>
        </w:tc>
        <w:tc>
          <w:tcPr>
            <w:tcW w:w="2709" w:type="pct"/>
            <w:tcBorders>
              <w:top w:val="single" w:color="000000" w:sz="2" w:space="0"/>
              <w:bottom w:val="single" w:color="000000" w:sz="2" w:space="0"/>
            </w:tcBorders>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服务内容（2）持续有效运营</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2.1、脆弱性管理</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漏洞扫描与验证：每季度针对服务资产的系统漏洞和Web漏洞进行全量扫描，并针对发现的漏洞进行验证，验证漏洞在已有的安全体系发生的风险及分析发生后可造成的危害。</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漏洞修复优先级排序与通告：基于漏洞扫描结果、资产重要性及漏洞的威胁情报，对漏洞进行重要性排序，确定修复的优先级；并将最终结果通告给用户。</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漏洞可落地修复方案：对漏洞进行分析并输出可落地的修复方案，通过工单系统跟踪修复情况。</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漏洞复测与状态追踪：对修复的漏洞进行复测，及时更新漏洞工单的漏洞修复状态。</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弱口令分析与管理：实现信息化资产不同应用弱口令猜解检测，如：SMB、Mssql、Mysql、Oracle、smtp、VNC、ftp、telnet、ssh、mysql、tomcat等。针对不同行业提供行业密码字典，有针对性的进行内网弱口令检测。并将检测发现的问题通过工单系统跟踪修复状态。"</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最新漏洞通告与排查：实时抓取互联网最新漏洞与详细资产信息进行匹配，对最新漏洞进行通告与排查。通告信息中包含最新漏洞信息、服务资产受影响情况。</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最新漏洞处置指导：一旦确认漏洞影响范围后，安全专家提供专业的处置建议，处置建议包含两部分，修复方案以及临时规避措施。</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最新漏洞复测与状态跟踪：由安全专家对该最新漏洞建立工单进行持续跟踪。</w:t>
            </w:r>
          </w:p>
        </w:tc>
        <w:tc>
          <w:tcPr>
            <w:tcW w:w="393" w:type="pct"/>
            <w:vMerge w:val="continue"/>
          </w:tcPr>
          <w:p>
            <w:pPr>
              <w:rPr>
                <w:rFonts w:hint="eastAsia" w:ascii="宋体" w:hAnsi="宋体" w:eastAsia="宋体" w:cs="宋体"/>
                <w:sz w:val="18"/>
                <w:szCs w:val="18"/>
                <w:lang w:val="en-US" w:eastAsia="zh-CN"/>
              </w:rPr>
            </w:pPr>
          </w:p>
        </w:tc>
        <w:tc>
          <w:tcPr>
            <w:tcW w:w="410" w:type="pct"/>
            <w:vMerge w:val="continue"/>
          </w:tcPr>
          <w:p>
            <w:pPr>
              <w:rPr>
                <w:rFonts w:hint="eastAsia" w:ascii="宋体" w:hAnsi="宋体" w:eastAsia="宋体" w:cs="宋体"/>
                <w:sz w:val="18"/>
                <w:szCs w:val="18"/>
                <w:lang w:val="en-US" w:eastAsia="zh-CN"/>
              </w:rPr>
            </w:pPr>
          </w:p>
        </w:tc>
        <w:tc>
          <w:tcPr>
            <w:tcW w:w="488" w:type="pct"/>
            <w:vMerge w:val="continue"/>
          </w:tcPr>
          <w:p>
            <w:pPr>
              <w:rPr>
                <w:rFonts w:hint="eastAsia" w:ascii="宋体" w:hAnsi="宋体" w:eastAsia="宋体" w:cs="宋体"/>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46" w:type="pct"/>
            <w:vMerge w:val="continue"/>
            <w:vAlign w:val="center"/>
          </w:tcPr>
          <w:p>
            <w:pPr>
              <w:jc w:val="center"/>
              <w:rPr>
                <w:rFonts w:hint="eastAsia" w:ascii="宋体" w:hAnsi="宋体" w:eastAsia="宋体" w:cs="宋体"/>
                <w:sz w:val="18"/>
                <w:szCs w:val="18"/>
                <w:lang w:val="en-US" w:eastAsia="zh-CN"/>
              </w:rPr>
            </w:pPr>
          </w:p>
        </w:tc>
        <w:tc>
          <w:tcPr>
            <w:tcW w:w="552" w:type="pct"/>
            <w:vMerge w:val="continue"/>
          </w:tcPr>
          <w:p>
            <w:pPr>
              <w:jc w:val="center"/>
              <w:rPr>
                <w:rFonts w:hint="eastAsia" w:ascii="宋体" w:hAnsi="宋体" w:eastAsia="宋体" w:cs="宋体"/>
                <w:sz w:val="18"/>
                <w:szCs w:val="18"/>
                <w:lang w:val="en-US" w:eastAsia="zh-CN"/>
              </w:rPr>
            </w:pPr>
          </w:p>
        </w:tc>
        <w:tc>
          <w:tcPr>
            <w:tcW w:w="2709" w:type="pct"/>
            <w:tcBorders>
              <w:top w:val="single" w:color="000000" w:sz="2" w:space="0"/>
              <w:bottom w:val="single" w:color="000000" w:sz="2" w:space="0"/>
            </w:tcBorders>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服务内容（2）持续有效运营</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2.2、威胁管理</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24H威胁分析研判：基于云端安全能力平台，云端专家提供7*24小时的威胁监测：依托于安全防护组件、检测响应组件和安全平台，将海量安全数据脱敏，包括漏洞信息、共享威胁情报、异常流量、攻击日志等数据，经由大数据处理平台结合人工智能和云端安全专家使用多种数据分析算法模型进行数据归因关联分析，实时监测网络安全状态，对安全告警和威胁进行分析研判，并生成生成工单；</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7*24H威胁通告：安全专家将云端分析确认后的真实威胁、事件实时通过微信、邮件等方式向用户通告，并提供处置建议。</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威胁影响面分析：安全专家针对每一个真实的威胁和告警，进行深度分析验证，分析判断受影响范围及是否攻击成功，将深度关联分析的结果通过服务群/邮件等方式告知用户。</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威胁协助处置：安全专家针对分析结果提供对应的处置或加固建议（如封锁攻击源、设置安全策略防护等措施），并协助用户闭环</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流行威胁通告与排查：结合威胁情报，安全专家排查是否对服务资产造成影响并通知用户，及时协助进行安全加固。</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策略检查：每季度安全专家对安全组件上的安全策略进行统一检查，确保安全组件上的安全策略始终处于最优水平，针对威胁能起到最好的防护效果。</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策略调优：每季度安全专家根据安全威胁/事件分析的结果以及处置方式，按需对安全组件上的安全策略进行调整工作。</w:t>
            </w:r>
          </w:p>
        </w:tc>
        <w:tc>
          <w:tcPr>
            <w:tcW w:w="393" w:type="pct"/>
            <w:vMerge w:val="continue"/>
          </w:tcPr>
          <w:p>
            <w:pPr>
              <w:rPr>
                <w:rFonts w:hint="eastAsia" w:ascii="宋体" w:hAnsi="宋体" w:eastAsia="宋体" w:cs="宋体"/>
                <w:sz w:val="18"/>
                <w:szCs w:val="18"/>
                <w:lang w:val="en-US" w:eastAsia="zh-CN"/>
              </w:rPr>
            </w:pPr>
          </w:p>
        </w:tc>
        <w:tc>
          <w:tcPr>
            <w:tcW w:w="410" w:type="pct"/>
            <w:vMerge w:val="continue"/>
          </w:tcPr>
          <w:p>
            <w:pPr>
              <w:rPr>
                <w:rFonts w:hint="eastAsia" w:ascii="宋体" w:hAnsi="宋体" w:eastAsia="宋体" w:cs="宋体"/>
                <w:sz w:val="18"/>
                <w:szCs w:val="18"/>
                <w:lang w:val="en-US" w:eastAsia="zh-CN"/>
              </w:rPr>
            </w:pPr>
          </w:p>
        </w:tc>
        <w:tc>
          <w:tcPr>
            <w:tcW w:w="488" w:type="pct"/>
            <w:vMerge w:val="continue"/>
          </w:tcPr>
          <w:p>
            <w:pPr>
              <w:rPr>
                <w:rFonts w:hint="eastAsia" w:ascii="宋体" w:hAnsi="宋体" w:eastAsia="宋体" w:cs="宋体"/>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46" w:type="pct"/>
            <w:vMerge w:val="continue"/>
            <w:vAlign w:val="center"/>
          </w:tcPr>
          <w:p>
            <w:pPr>
              <w:jc w:val="center"/>
              <w:rPr>
                <w:rFonts w:hint="eastAsia" w:ascii="宋体" w:hAnsi="宋体" w:eastAsia="宋体" w:cs="宋体"/>
                <w:sz w:val="18"/>
                <w:szCs w:val="18"/>
                <w:lang w:val="en-US" w:eastAsia="zh-CN"/>
              </w:rPr>
            </w:pPr>
          </w:p>
        </w:tc>
        <w:tc>
          <w:tcPr>
            <w:tcW w:w="552" w:type="pct"/>
            <w:vMerge w:val="continue"/>
          </w:tcPr>
          <w:p>
            <w:pPr>
              <w:jc w:val="center"/>
              <w:rPr>
                <w:rFonts w:hint="eastAsia" w:ascii="宋体" w:hAnsi="宋体" w:eastAsia="宋体" w:cs="宋体"/>
                <w:sz w:val="18"/>
                <w:szCs w:val="18"/>
                <w:lang w:val="en-US" w:eastAsia="zh-CN"/>
              </w:rPr>
            </w:pPr>
          </w:p>
        </w:tc>
        <w:tc>
          <w:tcPr>
            <w:tcW w:w="2709" w:type="pct"/>
            <w:tcBorders>
              <w:top w:val="single" w:color="000000" w:sz="2" w:space="0"/>
              <w:bottom w:val="single" w:color="000000" w:sz="2" w:space="0"/>
            </w:tcBorders>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服务内容（2）持续有效运营</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2.3、事件管理</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安全事件调查与分析：安全专家7*24H在线服务，针对主机发生的安全事件开展调查分析和影响面分析，对发生的安全事件进行人工鉴定和举证分析。</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安全事件处置：对客户网络内服务资产爆发勒索病毒、挖矿病毒、篡改事件、webshell、僵尸网络等安全事件，利用一些工具和脚本对恶意文件、代码进行根除，帮助客户快速恢复业务，消除或减轻影响。</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安全事件跟踪闭环：对发生的安全事件进行分级分类，并通过事件工单跟踪处置的情况，保障安全事件闭环。</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重大事件应急响应：通过事件检测分析，提供抑制手段，降低入侵影响，协助快速恢复业务。排查攻击路径、恶意文件、清除。还原攻击路径，分析入侵事件原因，提供安全事件溯源结果。结合现有安全防御体系，指导用户进行安全加固、提供整改建议、防止再次入侵。</w:t>
            </w:r>
          </w:p>
        </w:tc>
        <w:tc>
          <w:tcPr>
            <w:tcW w:w="393" w:type="pct"/>
            <w:vMerge w:val="continue"/>
          </w:tcPr>
          <w:p>
            <w:pPr>
              <w:rPr>
                <w:rFonts w:hint="eastAsia" w:ascii="宋体" w:hAnsi="宋体" w:eastAsia="宋体" w:cs="宋体"/>
                <w:sz w:val="18"/>
                <w:szCs w:val="18"/>
                <w:lang w:val="en-US" w:eastAsia="zh-CN"/>
              </w:rPr>
            </w:pPr>
          </w:p>
        </w:tc>
        <w:tc>
          <w:tcPr>
            <w:tcW w:w="410" w:type="pct"/>
            <w:vMerge w:val="continue"/>
          </w:tcPr>
          <w:p>
            <w:pPr>
              <w:rPr>
                <w:rFonts w:hint="eastAsia" w:ascii="宋体" w:hAnsi="宋体" w:eastAsia="宋体" w:cs="宋体"/>
                <w:sz w:val="18"/>
                <w:szCs w:val="18"/>
                <w:lang w:val="en-US" w:eastAsia="zh-CN"/>
              </w:rPr>
            </w:pPr>
          </w:p>
        </w:tc>
        <w:tc>
          <w:tcPr>
            <w:tcW w:w="488" w:type="pct"/>
            <w:vMerge w:val="continue"/>
          </w:tcPr>
          <w:p>
            <w:pPr>
              <w:rPr>
                <w:rFonts w:hint="eastAsia" w:ascii="宋体" w:hAnsi="宋体" w:eastAsia="宋体" w:cs="宋体"/>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46" w:type="pct"/>
            <w:vMerge w:val="continue"/>
            <w:vAlign w:val="center"/>
          </w:tcPr>
          <w:p>
            <w:pPr>
              <w:jc w:val="center"/>
              <w:rPr>
                <w:rFonts w:hint="eastAsia" w:ascii="宋体" w:hAnsi="宋体" w:eastAsia="宋体" w:cs="宋体"/>
                <w:sz w:val="18"/>
                <w:szCs w:val="18"/>
                <w:lang w:val="en-US" w:eastAsia="zh-CN"/>
              </w:rPr>
            </w:pPr>
          </w:p>
        </w:tc>
        <w:tc>
          <w:tcPr>
            <w:tcW w:w="552" w:type="pct"/>
            <w:vMerge w:val="continue"/>
          </w:tcPr>
          <w:p>
            <w:pPr>
              <w:jc w:val="center"/>
              <w:rPr>
                <w:rFonts w:hint="eastAsia" w:ascii="宋体" w:hAnsi="宋体" w:eastAsia="宋体" w:cs="宋体"/>
                <w:sz w:val="18"/>
                <w:szCs w:val="18"/>
                <w:lang w:val="en-US" w:eastAsia="zh-CN"/>
              </w:rPr>
            </w:pPr>
          </w:p>
        </w:tc>
        <w:tc>
          <w:tcPr>
            <w:tcW w:w="2709" w:type="pct"/>
            <w:tcBorders>
              <w:top w:val="single" w:color="000000" w:sz="2" w:space="0"/>
              <w:bottom w:val="single" w:color="000000" w:sz="2" w:space="0"/>
            </w:tcBorders>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服务内容（3）运营成果可视</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安全运营周报：安全专家每周对服务资产进行安全运营情况的分析总结并输出《安全运营周报》。</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安全运营月报：安全专家每月对服务资产及整体安全状况进行分析总结并输出《安全运营月报》。</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安全运营半年度汇报：安全专家每半年总结阶段性安全运营情况并输出《半年度总结报告》发送给用户，向用户进行远程总结汇报。</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安全运营年度汇报：安全专家总结年度安全运营情况并输出《年度总结报告》发送给用户，向用户进行总结汇报。</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用户Portal：可视化portal 支持随时查看服务范围内业务资产安全状态。支持在线展示所有脆弱性、威胁、事件工单的处置进程和结果支持用户在线对服务SLA进行查阅和监督。</w:t>
            </w:r>
          </w:p>
        </w:tc>
        <w:tc>
          <w:tcPr>
            <w:tcW w:w="393" w:type="pct"/>
            <w:vMerge w:val="continue"/>
          </w:tcPr>
          <w:p>
            <w:pPr>
              <w:rPr>
                <w:rFonts w:hint="eastAsia" w:ascii="宋体" w:hAnsi="宋体" w:eastAsia="宋体" w:cs="宋体"/>
                <w:sz w:val="18"/>
                <w:szCs w:val="18"/>
                <w:lang w:val="en-US" w:eastAsia="zh-CN"/>
              </w:rPr>
            </w:pPr>
          </w:p>
        </w:tc>
        <w:tc>
          <w:tcPr>
            <w:tcW w:w="410" w:type="pct"/>
            <w:vMerge w:val="continue"/>
          </w:tcPr>
          <w:p>
            <w:pPr>
              <w:rPr>
                <w:rFonts w:hint="eastAsia" w:ascii="宋体" w:hAnsi="宋体" w:eastAsia="宋体" w:cs="宋体"/>
                <w:sz w:val="18"/>
                <w:szCs w:val="18"/>
                <w:lang w:val="en-US" w:eastAsia="zh-CN"/>
              </w:rPr>
            </w:pPr>
          </w:p>
        </w:tc>
        <w:tc>
          <w:tcPr>
            <w:tcW w:w="488" w:type="pct"/>
            <w:vMerge w:val="continue"/>
          </w:tcPr>
          <w:p>
            <w:pPr>
              <w:rPr>
                <w:rFonts w:hint="eastAsia" w:ascii="宋体" w:hAnsi="宋体" w:eastAsia="宋体" w:cs="宋体"/>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46" w:type="pct"/>
            <w:vMerge w:val="continue"/>
            <w:tcBorders>
              <w:bottom w:val="single" w:color="000000" w:sz="2" w:space="0"/>
            </w:tcBorders>
            <w:vAlign w:val="center"/>
          </w:tcPr>
          <w:p>
            <w:pPr>
              <w:jc w:val="center"/>
              <w:rPr>
                <w:rFonts w:hint="eastAsia" w:ascii="宋体" w:hAnsi="宋体" w:eastAsia="宋体" w:cs="宋体"/>
                <w:sz w:val="18"/>
                <w:szCs w:val="18"/>
                <w:lang w:val="en-US" w:eastAsia="zh-CN"/>
              </w:rPr>
            </w:pPr>
          </w:p>
        </w:tc>
        <w:tc>
          <w:tcPr>
            <w:tcW w:w="552" w:type="pct"/>
            <w:vMerge w:val="continue"/>
            <w:tcBorders>
              <w:bottom w:val="single" w:color="000000" w:sz="2" w:space="0"/>
            </w:tcBorders>
          </w:tcPr>
          <w:p>
            <w:pPr>
              <w:jc w:val="center"/>
              <w:rPr>
                <w:rFonts w:hint="eastAsia" w:ascii="宋体" w:hAnsi="宋体" w:eastAsia="宋体" w:cs="宋体"/>
                <w:sz w:val="18"/>
                <w:szCs w:val="18"/>
                <w:lang w:val="en-US" w:eastAsia="zh-CN"/>
              </w:rPr>
            </w:pPr>
          </w:p>
        </w:tc>
        <w:tc>
          <w:tcPr>
            <w:tcW w:w="2709" w:type="pct"/>
            <w:tcBorders>
              <w:top w:val="single" w:color="000000" w:sz="2" w:space="0"/>
              <w:bottom w:val="single" w:color="000000" w:sz="2" w:space="0"/>
            </w:tcBorders>
          </w:tcPr>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服务交付物</w:t>
            </w:r>
          </w:p>
          <w:p>
            <w:pP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项目启动会PPT》、《首次安全威胁分析报告》《漏洞举证报告》、《漏洞清单》、《应急响应报告》、《事件处置报告》、《威胁情报》、《安全运营周报》、《安全运营月报》、《半年度总结汇报》、《年度总结汇报》</w:t>
            </w:r>
          </w:p>
        </w:tc>
        <w:tc>
          <w:tcPr>
            <w:tcW w:w="393" w:type="pct"/>
            <w:vMerge w:val="continue"/>
            <w:tcBorders>
              <w:bottom w:val="single" w:color="000000" w:sz="2" w:space="0"/>
            </w:tcBorders>
          </w:tcPr>
          <w:p>
            <w:pPr>
              <w:rPr>
                <w:rFonts w:hint="eastAsia" w:ascii="宋体" w:hAnsi="宋体" w:eastAsia="宋体" w:cs="宋体"/>
                <w:sz w:val="18"/>
                <w:szCs w:val="18"/>
                <w:lang w:val="en-US" w:eastAsia="zh-CN"/>
              </w:rPr>
            </w:pPr>
          </w:p>
        </w:tc>
        <w:tc>
          <w:tcPr>
            <w:tcW w:w="410" w:type="pct"/>
            <w:vMerge w:val="continue"/>
            <w:tcBorders>
              <w:bottom w:val="single" w:color="000000" w:sz="2" w:space="0"/>
            </w:tcBorders>
          </w:tcPr>
          <w:p>
            <w:pPr>
              <w:rPr>
                <w:rFonts w:hint="eastAsia" w:ascii="宋体" w:hAnsi="宋体" w:eastAsia="宋体" w:cs="宋体"/>
                <w:sz w:val="18"/>
                <w:szCs w:val="18"/>
                <w:lang w:val="en-US" w:eastAsia="zh-CN"/>
              </w:rPr>
            </w:pPr>
          </w:p>
        </w:tc>
        <w:tc>
          <w:tcPr>
            <w:tcW w:w="488" w:type="pct"/>
            <w:vMerge w:val="continue"/>
            <w:tcBorders>
              <w:bottom w:val="single" w:color="000000" w:sz="2" w:space="0"/>
            </w:tcBorders>
          </w:tcPr>
          <w:p>
            <w:pPr>
              <w:rPr>
                <w:rFonts w:hint="eastAsia" w:ascii="宋体" w:hAnsi="宋体" w:eastAsia="宋体" w:cs="宋体"/>
                <w:sz w:val="18"/>
                <w:szCs w:val="18"/>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46" w:type="pct"/>
            <w:tcBorders>
              <w:top w:val="single" w:color="000000" w:sz="2" w:space="0"/>
              <w:bottom w:val="single" w:color="000000" w:sz="2" w:space="0"/>
            </w:tcBorders>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2</w:t>
            </w:r>
          </w:p>
        </w:tc>
        <w:tc>
          <w:tcPr>
            <w:tcW w:w="552" w:type="pct"/>
            <w:tcBorders>
              <w:top w:val="single" w:color="000000" w:sz="2" w:space="0"/>
              <w:bottom w:val="single" w:color="000000" w:sz="2" w:space="0"/>
            </w:tcBorders>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防火墙</w:t>
            </w:r>
          </w:p>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续保</w:t>
            </w:r>
          </w:p>
        </w:tc>
        <w:tc>
          <w:tcPr>
            <w:tcW w:w="2709" w:type="pct"/>
            <w:tcBorders>
              <w:top w:val="single" w:color="000000" w:sz="2" w:space="0"/>
              <w:bottom w:val="single" w:color="000000" w:sz="2" w:space="0"/>
            </w:tcBorders>
            <w:vAlign w:val="center"/>
          </w:tcPr>
          <w:p>
            <w:pPr>
              <w:widowControl/>
              <w:jc w:val="left"/>
              <w:rPr>
                <w:rFonts w:hint="eastAsia" w:ascii="宋体" w:hAnsi="宋体" w:eastAsia="Times New Roman" w:cs="宋体"/>
                <w:bCs/>
                <w:color w:val="000000"/>
                <w:szCs w:val="21"/>
              </w:rPr>
            </w:pPr>
            <w:r>
              <w:rPr>
                <w:rFonts w:ascii="宋体" w:hAnsi="宋体" w:eastAsia="Times New Roman" w:cs="宋体"/>
                <w:bCs/>
                <w:color w:val="000000"/>
                <w:szCs w:val="21"/>
              </w:rPr>
              <w:t>AF-1000-L4570</w:t>
            </w:r>
            <w:r>
              <w:rPr>
                <w:rFonts w:hint="eastAsia" w:ascii="宋体" w:hAnsi="宋体" w:eastAsia="Times New Roman" w:cs="宋体"/>
                <w:bCs/>
                <w:color w:val="000000"/>
                <w:szCs w:val="21"/>
              </w:rPr>
              <w:t>（</w:t>
            </w:r>
            <w:r>
              <w:rPr>
                <w:rFonts w:ascii="宋体" w:hAnsi="宋体" w:eastAsia="Times New Roman" w:cs="宋体"/>
                <w:bCs/>
                <w:color w:val="000000"/>
                <w:szCs w:val="21"/>
              </w:rPr>
              <w:t>5039018425</w:t>
            </w:r>
            <w:r>
              <w:rPr>
                <w:rFonts w:hint="eastAsia" w:ascii="宋体" w:hAnsi="宋体" w:eastAsia="Times New Roman" w:cs="宋体"/>
                <w:bCs/>
                <w:color w:val="000000"/>
                <w:szCs w:val="21"/>
              </w:rPr>
              <w:t>-</w:t>
            </w:r>
            <w:r>
              <w:rPr>
                <w:rFonts w:ascii="宋体" w:hAnsi="宋体" w:eastAsia="Times New Roman" w:cs="宋体"/>
                <w:bCs/>
                <w:color w:val="000000"/>
                <w:szCs w:val="21"/>
              </w:rPr>
              <w:t>6BA4FE9E</w:t>
            </w:r>
            <w:r>
              <w:rPr>
                <w:rFonts w:hint="eastAsia" w:ascii="宋体" w:hAnsi="宋体" w:eastAsia="Times New Roman" w:cs="宋体"/>
                <w:bCs/>
                <w:color w:val="000000"/>
                <w:szCs w:val="21"/>
              </w:rPr>
              <w:t>）</w:t>
            </w:r>
          </w:p>
          <w:p>
            <w:pPr>
              <w:widowControl/>
              <w:jc w:val="left"/>
              <w:rPr>
                <w:rFonts w:hint="default" w:ascii="宋体" w:hAnsi="宋体" w:eastAsia="宋体" w:cs="宋体"/>
                <w:bCs/>
                <w:color w:val="000000"/>
                <w:szCs w:val="21"/>
                <w:lang w:val="en-US" w:eastAsia="zh-CN"/>
              </w:rPr>
            </w:pPr>
            <w:r>
              <w:rPr>
                <w:rFonts w:hint="eastAsia" w:ascii="宋体" w:hAnsi="宋体" w:eastAsia="宋体" w:cs="宋体"/>
                <w:bCs/>
                <w:color w:val="000000"/>
                <w:szCs w:val="21"/>
                <w:lang w:val="en-US" w:eastAsia="zh-CN"/>
              </w:rPr>
              <w:t>续保服务</w:t>
            </w:r>
          </w:p>
        </w:tc>
        <w:tc>
          <w:tcPr>
            <w:tcW w:w="393" w:type="pct"/>
            <w:tcBorders>
              <w:top w:val="single" w:color="000000" w:sz="2" w:space="0"/>
              <w:bottom w:val="single" w:color="000000" w:sz="2" w:space="0"/>
            </w:tcBorders>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410" w:type="pct"/>
            <w:tcBorders>
              <w:top w:val="single" w:color="000000" w:sz="2" w:space="0"/>
              <w:bottom w:val="single" w:color="000000" w:sz="2" w:space="0"/>
            </w:tcBorders>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年</w:t>
            </w:r>
          </w:p>
        </w:tc>
        <w:tc>
          <w:tcPr>
            <w:tcW w:w="488" w:type="pct"/>
            <w:tcBorders>
              <w:top w:val="single" w:color="000000" w:sz="2" w:space="0"/>
              <w:bottom w:val="single" w:color="000000" w:sz="2" w:space="0"/>
            </w:tcBorders>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安全设备</w:t>
            </w:r>
          </w:p>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续保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46" w:type="pct"/>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3</w:t>
            </w:r>
          </w:p>
        </w:tc>
        <w:tc>
          <w:tcPr>
            <w:tcW w:w="552"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VPN</w:t>
            </w:r>
          </w:p>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续保</w:t>
            </w:r>
          </w:p>
        </w:tc>
        <w:tc>
          <w:tcPr>
            <w:tcW w:w="2709" w:type="pct"/>
            <w:vAlign w:val="center"/>
          </w:tcPr>
          <w:p>
            <w:pPr>
              <w:widowControl/>
              <w:jc w:val="left"/>
              <w:rPr>
                <w:rFonts w:hint="eastAsia" w:ascii="宋体" w:hAnsi="宋体" w:eastAsia="Times New Roman" w:cs="宋体"/>
                <w:bCs/>
                <w:color w:val="000000"/>
                <w:kern w:val="2"/>
                <w:sz w:val="21"/>
                <w:szCs w:val="21"/>
                <w:lang w:val="en-US" w:eastAsia="zh-CN" w:bidi="ar-SA"/>
              </w:rPr>
            </w:pPr>
            <w:r>
              <w:rPr>
                <w:rFonts w:ascii="宋体" w:hAnsi="宋体" w:eastAsia="Times New Roman" w:cs="宋体"/>
                <w:bCs/>
                <w:color w:val="000000"/>
                <w:szCs w:val="21"/>
              </w:rPr>
              <w:t>VPN-1000-A400</w:t>
            </w:r>
            <w:r>
              <w:rPr>
                <w:rFonts w:hint="eastAsia" w:ascii="宋体" w:hAnsi="宋体" w:eastAsia="Times New Roman" w:cs="宋体"/>
                <w:bCs/>
                <w:color w:val="000000"/>
                <w:szCs w:val="21"/>
              </w:rPr>
              <w:t>（</w:t>
            </w:r>
            <w:r>
              <w:rPr>
                <w:rFonts w:ascii="宋体" w:hAnsi="宋体" w:eastAsia="Times New Roman" w:cs="宋体"/>
                <w:bCs/>
                <w:color w:val="000000"/>
                <w:szCs w:val="21"/>
              </w:rPr>
              <w:t>5017019558</w:t>
            </w:r>
            <w:r>
              <w:rPr>
                <w:rFonts w:hint="eastAsia" w:ascii="宋体" w:hAnsi="宋体" w:eastAsia="Times New Roman" w:cs="宋体"/>
                <w:bCs/>
                <w:color w:val="000000"/>
                <w:szCs w:val="21"/>
              </w:rPr>
              <w:t>-</w:t>
            </w:r>
            <w:r>
              <w:rPr>
                <w:rFonts w:ascii="宋体" w:hAnsi="宋体" w:eastAsia="Times New Roman" w:cs="宋体"/>
                <w:bCs/>
                <w:color w:val="000000"/>
                <w:szCs w:val="21"/>
              </w:rPr>
              <w:t>888DE828</w:t>
            </w:r>
            <w:r>
              <w:rPr>
                <w:rFonts w:hint="eastAsia" w:ascii="宋体" w:hAnsi="宋体" w:eastAsia="Times New Roman" w:cs="宋体"/>
                <w:bCs/>
                <w:color w:val="000000"/>
                <w:szCs w:val="21"/>
              </w:rPr>
              <w:t>）</w:t>
            </w:r>
          </w:p>
        </w:tc>
        <w:tc>
          <w:tcPr>
            <w:tcW w:w="393" w:type="pct"/>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410"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年</w:t>
            </w:r>
          </w:p>
        </w:tc>
        <w:tc>
          <w:tcPr>
            <w:tcW w:w="488"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安全设备</w:t>
            </w: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续保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46" w:type="pct"/>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4</w:t>
            </w:r>
          </w:p>
        </w:tc>
        <w:tc>
          <w:tcPr>
            <w:tcW w:w="552"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防火墙</w:t>
            </w:r>
          </w:p>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续保</w:t>
            </w:r>
          </w:p>
        </w:tc>
        <w:tc>
          <w:tcPr>
            <w:tcW w:w="2709" w:type="pct"/>
            <w:vAlign w:val="center"/>
          </w:tcPr>
          <w:p>
            <w:pPr>
              <w:widowControl/>
              <w:jc w:val="left"/>
              <w:rPr>
                <w:rFonts w:hint="eastAsia" w:ascii="宋体" w:hAnsi="宋体" w:eastAsia="Times New Roman" w:cs="宋体"/>
                <w:bCs/>
                <w:color w:val="000000"/>
                <w:kern w:val="2"/>
                <w:sz w:val="21"/>
                <w:szCs w:val="21"/>
                <w:lang w:val="en-US" w:eastAsia="zh-CN" w:bidi="ar-SA"/>
              </w:rPr>
            </w:pPr>
            <w:r>
              <w:rPr>
                <w:rFonts w:ascii="宋体" w:hAnsi="宋体" w:eastAsia="Times New Roman" w:cs="宋体"/>
                <w:bCs/>
                <w:color w:val="000000"/>
                <w:szCs w:val="21"/>
              </w:rPr>
              <w:t>AF-1000-B1350</w:t>
            </w:r>
            <w:r>
              <w:rPr>
                <w:rFonts w:hint="eastAsia" w:ascii="宋体" w:hAnsi="宋体" w:eastAsia="Times New Roman" w:cs="宋体"/>
                <w:bCs/>
                <w:color w:val="000000"/>
                <w:szCs w:val="21"/>
              </w:rPr>
              <w:t>（</w:t>
            </w:r>
            <w:r>
              <w:rPr>
                <w:rFonts w:ascii="宋体" w:hAnsi="宋体" w:eastAsia="Times New Roman" w:cs="宋体"/>
                <w:bCs/>
                <w:color w:val="000000"/>
                <w:szCs w:val="21"/>
              </w:rPr>
              <w:t>5019014261</w:t>
            </w:r>
            <w:r>
              <w:rPr>
                <w:rFonts w:hint="eastAsia" w:ascii="宋体" w:hAnsi="宋体" w:eastAsia="Times New Roman" w:cs="宋体"/>
                <w:bCs/>
                <w:color w:val="000000"/>
                <w:szCs w:val="21"/>
              </w:rPr>
              <w:t>-</w:t>
            </w:r>
            <w:r>
              <w:rPr>
                <w:rFonts w:ascii="宋体" w:hAnsi="宋体" w:eastAsia="Times New Roman" w:cs="宋体"/>
                <w:bCs/>
                <w:color w:val="000000"/>
                <w:szCs w:val="21"/>
              </w:rPr>
              <w:t>D975A999</w:t>
            </w:r>
            <w:r>
              <w:rPr>
                <w:rFonts w:hint="eastAsia" w:ascii="宋体" w:hAnsi="宋体" w:eastAsia="Times New Roman" w:cs="宋体"/>
                <w:bCs/>
                <w:color w:val="000000"/>
                <w:szCs w:val="21"/>
              </w:rPr>
              <w:t>）</w:t>
            </w:r>
          </w:p>
        </w:tc>
        <w:tc>
          <w:tcPr>
            <w:tcW w:w="393" w:type="pct"/>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410"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年</w:t>
            </w:r>
          </w:p>
        </w:tc>
        <w:tc>
          <w:tcPr>
            <w:tcW w:w="488"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安全设备</w:t>
            </w: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续保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46" w:type="pct"/>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5</w:t>
            </w:r>
          </w:p>
        </w:tc>
        <w:tc>
          <w:tcPr>
            <w:tcW w:w="552"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防火墙</w:t>
            </w:r>
          </w:p>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续保</w:t>
            </w:r>
          </w:p>
        </w:tc>
        <w:tc>
          <w:tcPr>
            <w:tcW w:w="2709" w:type="pct"/>
            <w:vAlign w:val="center"/>
          </w:tcPr>
          <w:p>
            <w:pPr>
              <w:widowControl/>
              <w:jc w:val="left"/>
              <w:rPr>
                <w:rFonts w:hint="eastAsia" w:ascii="宋体" w:hAnsi="宋体" w:eastAsia="Times New Roman" w:cs="宋体"/>
                <w:bCs/>
                <w:color w:val="000000"/>
                <w:kern w:val="2"/>
                <w:sz w:val="21"/>
                <w:szCs w:val="21"/>
                <w:lang w:val="en-US" w:eastAsia="zh-CN" w:bidi="ar-SA"/>
              </w:rPr>
            </w:pPr>
            <w:r>
              <w:rPr>
                <w:rFonts w:ascii="宋体" w:hAnsi="宋体" w:eastAsia="Times New Roman" w:cs="宋体"/>
                <w:bCs/>
                <w:color w:val="000000"/>
                <w:szCs w:val="21"/>
              </w:rPr>
              <w:t>AF-1000-B1510</w:t>
            </w:r>
            <w:r>
              <w:rPr>
                <w:rFonts w:hint="eastAsia" w:ascii="宋体" w:hAnsi="宋体" w:eastAsia="Times New Roman" w:cs="宋体"/>
                <w:bCs/>
                <w:color w:val="000000"/>
                <w:szCs w:val="21"/>
              </w:rPr>
              <w:t>（</w:t>
            </w:r>
            <w:r>
              <w:rPr>
                <w:rFonts w:ascii="宋体" w:hAnsi="宋体" w:eastAsia="Times New Roman" w:cs="宋体"/>
                <w:bCs/>
                <w:color w:val="000000"/>
                <w:szCs w:val="21"/>
              </w:rPr>
              <w:t>WAZCDH0726</w:t>
            </w:r>
            <w:r>
              <w:rPr>
                <w:rFonts w:hint="eastAsia" w:ascii="宋体" w:hAnsi="宋体" w:eastAsia="Times New Roman" w:cs="宋体"/>
                <w:bCs/>
                <w:color w:val="000000"/>
                <w:szCs w:val="21"/>
              </w:rPr>
              <w:t>-</w:t>
            </w:r>
            <w:r>
              <w:rPr>
                <w:rFonts w:ascii="宋体" w:hAnsi="宋体" w:eastAsia="Times New Roman" w:cs="宋体"/>
                <w:bCs/>
                <w:color w:val="000000"/>
                <w:szCs w:val="21"/>
              </w:rPr>
              <w:t>8EC3A29F</w:t>
            </w:r>
            <w:r>
              <w:rPr>
                <w:rFonts w:hint="eastAsia" w:ascii="宋体" w:hAnsi="宋体" w:eastAsia="Times New Roman" w:cs="宋体"/>
                <w:bCs/>
                <w:color w:val="000000"/>
                <w:szCs w:val="21"/>
              </w:rPr>
              <w:t>）</w:t>
            </w:r>
          </w:p>
        </w:tc>
        <w:tc>
          <w:tcPr>
            <w:tcW w:w="393" w:type="pct"/>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410"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年</w:t>
            </w:r>
          </w:p>
        </w:tc>
        <w:tc>
          <w:tcPr>
            <w:tcW w:w="488"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安全设备</w:t>
            </w: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续保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46" w:type="pct"/>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6</w:t>
            </w:r>
          </w:p>
        </w:tc>
        <w:tc>
          <w:tcPr>
            <w:tcW w:w="552"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杀毒</w:t>
            </w:r>
          </w:p>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续保</w:t>
            </w:r>
          </w:p>
        </w:tc>
        <w:tc>
          <w:tcPr>
            <w:tcW w:w="2709" w:type="pct"/>
            <w:vAlign w:val="center"/>
          </w:tcPr>
          <w:p>
            <w:pPr>
              <w:widowControl/>
              <w:jc w:val="left"/>
              <w:rPr>
                <w:rFonts w:hint="eastAsia" w:ascii="宋体" w:hAnsi="宋体" w:eastAsia="Times New Roman" w:cs="宋体"/>
                <w:bCs/>
                <w:color w:val="000000"/>
                <w:kern w:val="2"/>
                <w:sz w:val="21"/>
                <w:szCs w:val="21"/>
                <w:lang w:val="en-US" w:eastAsia="zh-CN" w:bidi="ar-SA"/>
              </w:rPr>
            </w:pPr>
            <w:r>
              <w:rPr>
                <w:rFonts w:ascii="宋体" w:hAnsi="宋体" w:eastAsia="Times New Roman" w:cs="宋体"/>
                <w:bCs/>
                <w:color w:val="000000"/>
                <w:szCs w:val="21"/>
              </w:rPr>
              <w:t>EDR</w:t>
            </w:r>
            <w:r>
              <w:rPr>
                <w:rFonts w:hint="eastAsia" w:ascii="宋体" w:hAnsi="宋体" w:eastAsia="Times New Roman" w:cs="宋体"/>
                <w:bCs/>
                <w:color w:val="000000"/>
                <w:szCs w:val="21"/>
              </w:rPr>
              <w:t>（</w:t>
            </w:r>
            <w:r>
              <w:rPr>
                <w:rFonts w:ascii="宋体" w:hAnsi="宋体" w:eastAsia="Times New Roman" w:cs="宋体"/>
                <w:bCs/>
                <w:color w:val="000000"/>
                <w:szCs w:val="21"/>
              </w:rPr>
              <w:t>274056534</w:t>
            </w:r>
            <w:r>
              <w:rPr>
                <w:rFonts w:hint="eastAsia" w:ascii="宋体" w:hAnsi="宋体" w:eastAsia="Times New Roman" w:cs="宋体"/>
                <w:bCs/>
                <w:color w:val="000000"/>
                <w:szCs w:val="21"/>
              </w:rPr>
              <w:t>）</w:t>
            </w:r>
          </w:p>
        </w:tc>
        <w:tc>
          <w:tcPr>
            <w:tcW w:w="393" w:type="pct"/>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410"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年</w:t>
            </w:r>
          </w:p>
        </w:tc>
        <w:tc>
          <w:tcPr>
            <w:tcW w:w="488"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安全设备</w:t>
            </w: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续保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46" w:type="pct"/>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7</w:t>
            </w:r>
          </w:p>
        </w:tc>
        <w:tc>
          <w:tcPr>
            <w:tcW w:w="552"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日志审计</w:t>
            </w:r>
          </w:p>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续保</w:t>
            </w:r>
          </w:p>
        </w:tc>
        <w:tc>
          <w:tcPr>
            <w:tcW w:w="2709" w:type="pct"/>
            <w:vAlign w:val="center"/>
          </w:tcPr>
          <w:p>
            <w:pPr>
              <w:widowControl/>
              <w:jc w:val="left"/>
              <w:rPr>
                <w:rFonts w:hint="eastAsia" w:ascii="宋体" w:hAnsi="宋体" w:eastAsia="Times New Roman" w:cs="宋体"/>
                <w:bCs/>
                <w:color w:val="000000"/>
                <w:kern w:val="2"/>
                <w:sz w:val="21"/>
                <w:szCs w:val="21"/>
                <w:lang w:val="en-US" w:eastAsia="zh-CN" w:bidi="ar-SA"/>
              </w:rPr>
            </w:pPr>
            <w:r>
              <w:rPr>
                <w:rFonts w:ascii="宋体" w:hAnsi="宋体" w:eastAsia="Times New Roman" w:cs="宋体"/>
                <w:bCs/>
                <w:color w:val="000000"/>
                <w:szCs w:val="21"/>
              </w:rPr>
              <w:t>LAS-1000-A600</w:t>
            </w:r>
            <w:r>
              <w:rPr>
                <w:rFonts w:hint="eastAsia" w:ascii="宋体" w:hAnsi="宋体" w:eastAsia="Times New Roman" w:cs="宋体"/>
                <w:bCs/>
                <w:color w:val="000000"/>
                <w:szCs w:val="21"/>
              </w:rPr>
              <w:t>（</w:t>
            </w:r>
            <w:r>
              <w:rPr>
                <w:rFonts w:ascii="宋体" w:hAnsi="宋体" w:eastAsia="Times New Roman" w:cs="宋体"/>
                <w:bCs/>
                <w:color w:val="000000"/>
                <w:szCs w:val="21"/>
              </w:rPr>
              <w:t>5077007818</w:t>
            </w:r>
            <w:r>
              <w:rPr>
                <w:rFonts w:hint="eastAsia" w:ascii="宋体" w:hAnsi="宋体" w:eastAsia="Times New Roman" w:cs="宋体"/>
                <w:bCs/>
                <w:color w:val="000000"/>
                <w:szCs w:val="21"/>
              </w:rPr>
              <w:t>）</w:t>
            </w:r>
            <w:r>
              <w:rPr>
                <w:rFonts w:ascii="宋体" w:hAnsi="宋体" w:eastAsia="Times New Roman" w:cs="宋体"/>
                <w:bCs/>
                <w:color w:val="000000"/>
                <w:szCs w:val="21"/>
              </w:rPr>
              <w:tab/>
            </w:r>
          </w:p>
        </w:tc>
        <w:tc>
          <w:tcPr>
            <w:tcW w:w="393" w:type="pct"/>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410"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年</w:t>
            </w:r>
          </w:p>
        </w:tc>
        <w:tc>
          <w:tcPr>
            <w:tcW w:w="488"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安全设备</w:t>
            </w: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续保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46" w:type="pct"/>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8</w:t>
            </w:r>
          </w:p>
        </w:tc>
        <w:tc>
          <w:tcPr>
            <w:tcW w:w="552" w:type="pct"/>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网闸续保</w:t>
            </w:r>
          </w:p>
        </w:tc>
        <w:tc>
          <w:tcPr>
            <w:tcW w:w="2709" w:type="pct"/>
            <w:vAlign w:val="center"/>
          </w:tcPr>
          <w:p>
            <w:pPr>
              <w:widowControl/>
              <w:jc w:val="left"/>
              <w:rPr>
                <w:rFonts w:hint="eastAsia" w:ascii="宋体" w:hAnsi="宋体" w:eastAsia="Times New Roman" w:cs="宋体"/>
                <w:bCs/>
                <w:color w:val="000000"/>
                <w:kern w:val="2"/>
                <w:sz w:val="21"/>
                <w:szCs w:val="21"/>
                <w:lang w:val="en-US" w:eastAsia="zh-CN" w:bidi="ar-SA"/>
              </w:rPr>
            </w:pPr>
            <w:r>
              <w:rPr>
                <w:rFonts w:ascii="宋体" w:hAnsi="宋体" w:eastAsia="Times New Roman" w:cs="宋体"/>
                <w:bCs/>
                <w:color w:val="000000"/>
                <w:szCs w:val="21"/>
              </w:rPr>
              <w:t>GAP-1000-A600</w:t>
            </w:r>
            <w:r>
              <w:rPr>
                <w:rFonts w:hint="eastAsia" w:ascii="宋体" w:hAnsi="宋体" w:eastAsia="Times New Roman" w:cs="宋体"/>
                <w:bCs/>
                <w:color w:val="000000"/>
                <w:szCs w:val="21"/>
              </w:rPr>
              <w:t>（</w:t>
            </w:r>
            <w:r>
              <w:rPr>
                <w:rFonts w:ascii="宋体" w:hAnsi="宋体" w:eastAsia="Times New Roman" w:cs="宋体"/>
                <w:bCs/>
                <w:color w:val="000000"/>
                <w:szCs w:val="21"/>
              </w:rPr>
              <w:t>5011046835</w:t>
            </w:r>
            <w:r>
              <w:rPr>
                <w:rFonts w:hint="eastAsia" w:ascii="宋体" w:hAnsi="宋体" w:eastAsia="Times New Roman" w:cs="宋体"/>
                <w:bCs/>
                <w:color w:val="000000"/>
                <w:szCs w:val="21"/>
              </w:rPr>
              <w:t>）</w:t>
            </w:r>
            <w:r>
              <w:rPr>
                <w:rFonts w:ascii="宋体" w:hAnsi="宋体" w:eastAsia="Times New Roman" w:cs="宋体"/>
                <w:bCs/>
                <w:color w:val="000000"/>
                <w:szCs w:val="21"/>
              </w:rPr>
              <w:tab/>
            </w:r>
          </w:p>
        </w:tc>
        <w:tc>
          <w:tcPr>
            <w:tcW w:w="393" w:type="pct"/>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410"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年</w:t>
            </w:r>
          </w:p>
        </w:tc>
        <w:tc>
          <w:tcPr>
            <w:tcW w:w="488"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安全设备</w:t>
            </w: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续保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rPr>
        <w:tc>
          <w:tcPr>
            <w:tcW w:w="446" w:type="pct"/>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9</w:t>
            </w:r>
          </w:p>
        </w:tc>
        <w:tc>
          <w:tcPr>
            <w:tcW w:w="552" w:type="pct"/>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保垒机</w:t>
            </w:r>
          </w:p>
        </w:tc>
        <w:tc>
          <w:tcPr>
            <w:tcW w:w="2709" w:type="pct"/>
            <w:vAlign w:val="center"/>
          </w:tcPr>
          <w:p>
            <w:pPr>
              <w:widowControl/>
              <w:jc w:val="left"/>
              <w:rPr>
                <w:rFonts w:hint="eastAsia" w:ascii="宋体" w:hAnsi="宋体" w:eastAsia="Times New Roman" w:cs="宋体"/>
                <w:bCs/>
                <w:color w:val="000000"/>
                <w:kern w:val="2"/>
                <w:sz w:val="21"/>
                <w:szCs w:val="21"/>
                <w:lang w:val="en-US" w:eastAsia="zh-CN" w:bidi="ar-SA"/>
              </w:rPr>
            </w:pPr>
            <w:r>
              <w:rPr>
                <w:rFonts w:ascii="宋体" w:hAnsi="宋体" w:eastAsia="Times New Roman" w:cs="宋体"/>
                <w:bCs/>
                <w:color w:val="000000"/>
                <w:szCs w:val="21"/>
              </w:rPr>
              <w:t>OSM-1000-A600</w:t>
            </w:r>
            <w:r>
              <w:rPr>
                <w:rFonts w:hint="eastAsia" w:ascii="宋体" w:hAnsi="宋体" w:eastAsia="Times New Roman" w:cs="宋体"/>
                <w:bCs/>
                <w:color w:val="000000"/>
                <w:szCs w:val="21"/>
              </w:rPr>
              <w:t>（</w:t>
            </w:r>
            <w:r>
              <w:rPr>
                <w:rFonts w:ascii="宋体" w:hAnsi="宋体" w:eastAsia="Times New Roman" w:cs="宋体"/>
                <w:bCs/>
                <w:color w:val="000000"/>
                <w:szCs w:val="21"/>
              </w:rPr>
              <w:t>5039022623</w:t>
            </w:r>
            <w:r>
              <w:rPr>
                <w:rFonts w:hint="eastAsia" w:ascii="宋体" w:hAnsi="宋体" w:eastAsia="Times New Roman" w:cs="宋体"/>
                <w:bCs/>
                <w:color w:val="000000"/>
                <w:szCs w:val="21"/>
              </w:rPr>
              <w:t>）</w:t>
            </w:r>
            <w:r>
              <w:rPr>
                <w:rFonts w:ascii="宋体" w:hAnsi="宋体" w:eastAsia="Times New Roman" w:cs="宋体"/>
                <w:bCs/>
                <w:color w:val="000000"/>
                <w:szCs w:val="21"/>
              </w:rPr>
              <w:tab/>
            </w:r>
          </w:p>
        </w:tc>
        <w:tc>
          <w:tcPr>
            <w:tcW w:w="393" w:type="pct"/>
            <w:vAlign w:val="center"/>
          </w:tcPr>
          <w:p>
            <w:pPr>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410"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年</w:t>
            </w:r>
          </w:p>
        </w:tc>
        <w:tc>
          <w:tcPr>
            <w:tcW w:w="488" w:type="pct"/>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安全设备</w:t>
            </w:r>
          </w:p>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续保</w:t>
            </w:r>
          </w:p>
        </w:tc>
      </w:tr>
    </w:tbl>
    <w:p>
      <w:pPr>
        <w:pStyle w:val="7"/>
        <w:numPr>
          <w:ilvl w:val="0"/>
          <w:numId w:val="0"/>
        </w:numPr>
        <w:spacing w:line="560" w:lineRule="exact"/>
        <w:rPr>
          <w:rFonts w:hint="eastAsia" w:ascii="仿宋" w:hAnsi="仿宋" w:eastAsia="仿宋" w:cs="仿宋"/>
          <w:kern w:val="0"/>
          <w:sz w:val="28"/>
          <w:szCs w:val="28"/>
        </w:rPr>
      </w:pPr>
    </w:p>
    <w:p>
      <w:pPr>
        <w:pStyle w:val="17"/>
        <w:rPr>
          <w:rFonts w:ascii="仿宋" w:hAnsi="仿宋" w:eastAsia="仿宋" w:cs="仿宋"/>
          <w:color w:val="auto"/>
          <w:sz w:val="28"/>
          <w:szCs w:val="28"/>
        </w:rPr>
      </w:pPr>
      <w:r>
        <w:rPr>
          <w:rFonts w:hint="eastAsia" w:ascii="仿宋" w:hAnsi="仿宋" w:eastAsia="仿宋" w:cs="仿宋"/>
          <w:color w:val="auto"/>
          <w:sz w:val="28"/>
          <w:szCs w:val="28"/>
        </w:rPr>
        <w:t>主要维护要求：</w:t>
      </w:r>
    </w:p>
    <w:p>
      <w:pPr>
        <w:ind w:firstLine="560" w:firstLineChars="200"/>
        <w:rPr>
          <w:rFonts w:ascii="仿宋" w:hAnsi="仿宋" w:eastAsia="仿宋" w:cs="仿宋"/>
          <w:sz w:val="28"/>
          <w:szCs w:val="28"/>
        </w:rPr>
      </w:pPr>
      <w:r>
        <w:rPr>
          <w:rFonts w:hint="eastAsia" w:ascii="仿宋" w:hAnsi="仿宋" w:eastAsia="仿宋" w:cs="仿宋"/>
          <w:sz w:val="28"/>
          <w:szCs w:val="28"/>
        </w:rPr>
        <w:t>1、维护单位须承诺所提供的服务、人员及设备符合国家相关计算机及网络安全规定。</w:t>
      </w:r>
    </w:p>
    <w:p>
      <w:pPr>
        <w:pStyle w:val="7"/>
        <w:ind w:firstLine="560" w:firstLineChars="200"/>
        <w:rPr>
          <w:rFonts w:ascii="仿宋" w:hAnsi="仿宋" w:eastAsia="仿宋" w:cs="仿宋"/>
          <w:sz w:val="28"/>
          <w:szCs w:val="28"/>
        </w:rPr>
      </w:pPr>
      <w:r>
        <w:rPr>
          <w:rFonts w:hint="eastAsia" w:ascii="仿宋" w:hAnsi="仿宋" w:eastAsia="仿宋" w:cs="仿宋"/>
          <w:sz w:val="28"/>
          <w:szCs w:val="28"/>
        </w:rPr>
        <w:t>2、维护单位提供1年软硬件维护服务（软件服务包括网络安全设备病毒库、特征库等的升级服务） ，7×24小时</w:t>
      </w:r>
      <w:r>
        <w:rPr>
          <w:rFonts w:hint="eastAsia" w:ascii="仿宋" w:hAnsi="仿宋" w:eastAsia="仿宋" w:cs="仿宋"/>
          <w:sz w:val="28"/>
          <w:szCs w:val="28"/>
          <w:lang w:val="en-US" w:eastAsia="zh-CN"/>
        </w:rPr>
        <w:t>安全设备及事件巡查</w:t>
      </w:r>
      <w:r>
        <w:rPr>
          <w:rFonts w:hint="eastAsia" w:ascii="仿宋" w:hAnsi="仿宋" w:eastAsia="仿宋" w:cs="仿宋"/>
          <w:sz w:val="28"/>
          <w:szCs w:val="28"/>
        </w:rPr>
        <w:t>。</w:t>
      </w:r>
      <w:r>
        <w:rPr>
          <w:rFonts w:hint="eastAsia" w:ascii="仿宋" w:hAnsi="仿宋" w:eastAsia="仿宋" w:cs="仿宋"/>
          <w:sz w:val="28"/>
          <w:szCs w:val="28"/>
          <w:lang w:val="en-US" w:eastAsia="zh-CN"/>
        </w:rPr>
        <w:t>当出现安全事件时第一时间提出</w:t>
      </w:r>
      <w:r>
        <w:rPr>
          <w:rFonts w:hint="eastAsia" w:ascii="仿宋" w:hAnsi="仿宋" w:eastAsia="仿宋" w:cs="仿宋"/>
          <w:sz w:val="28"/>
          <w:szCs w:val="28"/>
        </w:rPr>
        <w:t>解决方案，能够提供代用产品，在2小时内排除</w:t>
      </w:r>
      <w:r>
        <w:rPr>
          <w:rFonts w:hint="eastAsia" w:ascii="仿宋" w:hAnsi="仿宋" w:eastAsia="仿宋" w:cs="仿宋"/>
          <w:sz w:val="28"/>
          <w:szCs w:val="28"/>
          <w:lang w:val="en-US" w:eastAsia="zh-CN"/>
        </w:rPr>
        <w:t>事件</w:t>
      </w:r>
      <w:r>
        <w:rPr>
          <w:rFonts w:hint="eastAsia" w:ascii="仿宋" w:hAnsi="仿宋" w:eastAsia="仿宋" w:cs="仿宋"/>
          <w:sz w:val="28"/>
          <w:szCs w:val="28"/>
        </w:rPr>
        <w:t>（即保证系统恢复正常运行）。提供故障处理、电话支持、在线指导及现场处理等7×24小时服务响应。</w:t>
      </w:r>
    </w:p>
    <w:p>
      <w:pPr>
        <w:pStyle w:val="7"/>
        <w:ind w:firstLine="560" w:firstLineChars="200"/>
        <w:rPr>
          <w:rFonts w:ascii="仿宋" w:hAnsi="仿宋" w:eastAsia="仿宋" w:cs="仿宋"/>
          <w:sz w:val="28"/>
          <w:szCs w:val="28"/>
        </w:rPr>
      </w:pPr>
      <w:r>
        <w:rPr>
          <w:rFonts w:hint="eastAsia" w:ascii="仿宋" w:hAnsi="仿宋" w:eastAsia="仿宋" w:cs="仿宋"/>
          <w:sz w:val="28"/>
          <w:szCs w:val="28"/>
        </w:rPr>
        <w:t>3、维护单位为确保安全、稳定运行，须提供至少</w:t>
      </w:r>
      <w:r>
        <w:rPr>
          <w:rFonts w:ascii="仿宋" w:hAnsi="仿宋" w:eastAsia="仿宋" w:cs="仿宋"/>
          <w:sz w:val="28"/>
          <w:szCs w:val="28"/>
        </w:rPr>
        <w:t>3名运维保障工程师</w:t>
      </w:r>
      <w:r>
        <w:rPr>
          <w:rFonts w:hint="eastAsia" w:ascii="仿宋" w:hAnsi="仿宋" w:eastAsia="仿宋" w:cs="仿宋"/>
          <w:sz w:val="28"/>
          <w:szCs w:val="28"/>
        </w:rPr>
        <w:t>，服务</w:t>
      </w:r>
      <w:r>
        <w:rPr>
          <w:rFonts w:ascii="仿宋" w:hAnsi="仿宋" w:eastAsia="仿宋" w:cs="仿宋"/>
          <w:sz w:val="28"/>
          <w:szCs w:val="28"/>
        </w:rPr>
        <w:t>期限</w:t>
      </w:r>
      <w:r>
        <w:rPr>
          <w:rFonts w:hint="eastAsia" w:ascii="仿宋" w:hAnsi="仿宋" w:eastAsia="仿宋" w:cs="仿宋"/>
          <w:sz w:val="28"/>
          <w:szCs w:val="28"/>
        </w:rPr>
        <w:t>不小于</w:t>
      </w:r>
      <w:r>
        <w:rPr>
          <w:rFonts w:ascii="仿宋" w:hAnsi="仿宋" w:eastAsia="仿宋" w:cs="仿宋"/>
          <w:sz w:val="28"/>
          <w:szCs w:val="28"/>
        </w:rPr>
        <w:t>1年</w:t>
      </w:r>
      <w:r>
        <w:rPr>
          <w:rFonts w:hint="eastAsia" w:ascii="仿宋" w:hAnsi="仿宋" w:eastAsia="仿宋" w:cs="仿宋"/>
          <w:sz w:val="28"/>
          <w:szCs w:val="28"/>
        </w:rPr>
        <w:t>。</w:t>
      </w:r>
    </w:p>
    <w:p>
      <w:pPr>
        <w:pStyle w:val="7"/>
        <w:ind w:firstLine="560" w:firstLineChars="200"/>
        <w:rPr>
          <w:rFonts w:ascii="仿宋" w:hAnsi="仿宋" w:eastAsia="仿宋" w:cs="仿宋"/>
          <w:sz w:val="28"/>
          <w:szCs w:val="28"/>
        </w:rPr>
      </w:pPr>
      <w:r>
        <w:rPr>
          <w:rFonts w:hint="eastAsia" w:ascii="仿宋" w:hAnsi="仿宋" w:eastAsia="仿宋" w:cs="仿宋"/>
          <w:sz w:val="28"/>
          <w:szCs w:val="28"/>
        </w:rPr>
        <w:t>4、维护单位定期（每</w:t>
      </w:r>
      <w:r>
        <w:rPr>
          <w:rFonts w:hint="eastAsia" w:ascii="仿宋" w:hAnsi="仿宋" w:eastAsia="仿宋" w:cs="仿宋"/>
          <w:sz w:val="28"/>
          <w:szCs w:val="28"/>
          <w:lang w:val="en-US" w:eastAsia="zh-CN"/>
        </w:rPr>
        <w:t>日</w:t>
      </w:r>
      <w:r>
        <w:rPr>
          <w:rFonts w:hint="eastAsia" w:ascii="仿宋" w:hAnsi="仿宋" w:eastAsia="仿宋" w:cs="仿宋"/>
          <w:sz w:val="28"/>
          <w:szCs w:val="28"/>
        </w:rPr>
        <w:t>）对现有网络</w:t>
      </w:r>
      <w:r>
        <w:rPr>
          <w:rFonts w:hint="eastAsia" w:ascii="仿宋" w:hAnsi="仿宋" w:eastAsia="仿宋" w:cs="仿宋"/>
          <w:sz w:val="28"/>
          <w:szCs w:val="28"/>
          <w:lang w:val="en-US" w:eastAsia="zh-CN"/>
        </w:rPr>
        <w:t>安全</w:t>
      </w:r>
      <w:r>
        <w:rPr>
          <w:rFonts w:ascii="仿宋" w:hAnsi="仿宋" w:eastAsia="仿宋" w:cs="仿宋"/>
          <w:sz w:val="28"/>
          <w:szCs w:val="28"/>
        </w:rPr>
        <w:t>设备</w:t>
      </w:r>
      <w:r>
        <w:rPr>
          <w:rFonts w:hint="eastAsia" w:ascii="仿宋" w:hAnsi="仿宋" w:eastAsia="仿宋" w:cs="仿宋"/>
          <w:sz w:val="28"/>
          <w:szCs w:val="28"/>
        </w:rPr>
        <w:t>及环境运行状态进行检查和分析，完成</w:t>
      </w:r>
      <w:r>
        <w:rPr>
          <w:rFonts w:hint="eastAsia" w:ascii="仿宋" w:hAnsi="仿宋" w:eastAsia="仿宋" w:cs="仿宋"/>
          <w:sz w:val="28"/>
          <w:szCs w:val="28"/>
          <w:lang w:val="en-US" w:eastAsia="zh-CN"/>
        </w:rPr>
        <w:t>并发布</w:t>
      </w:r>
      <w:r>
        <w:rPr>
          <w:rFonts w:hint="eastAsia" w:ascii="仿宋" w:hAnsi="仿宋" w:eastAsia="仿宋" w:cs="仿宋"/>
          <w:sz w:val="28"/>
          <w:szCs w:val="28"/>
        </w:rPr>
        <w:t>巡检报告。</w:t>
      </w:r>
    </w:p>
    <w:p>
      <w:pPr>
        <w:pStyle w:val="7"/>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、维护单位建立完备的维护档案，线路资料档案和网络运行档案。对相应的网络、设备进行正规标记，以保证</w:t>
      </w:r>
      <w:r>
        <w:rPr>
          <w:rFonts w:hint="eastAsia" w:ascii="仿宋" w:hAnsi="仿宋" w:eastAsia="仿宋" w:cs="仿宋"/>
          <w:sz w:val="28"/>
          <w:szCs w:val="28"/>
          <w:lang w:val="en-US" w:eastAsia="zh-CN"/>
        </w:rPr>
        <w:t>津南</w:t>
      </w:r>
      <w:r>
        <w:rPr>
          <w:rFonts w:hint="eastAsia" w:ascii="仿宋" w:hAnsi="仿宋" w:eastAsia="仿宋" w:cs="仿宋"/>
          <w:sz w:val="28"/>
          <w:szCs w:val="28"/>
        </w:rPr>
        <w:t>水务工作人员日常工作的便捷和维护资料的准确性，保证</w:t>
      </w:r>
      <w:r>
        <w:rPr>
          <w:rFonts w:hint="eastAsia" w:ascii="仿宋" w:hAnsi="仿宋" w:eastAsia="仿宋" w:cs="仿宋"/>
          <w:sz w:val="28"/>
          <w:szCs w:val="28"/>
          <w:lang w:val="en-US" w:eastAsia="zh-CN"/>
        </w:rPr>
        <w:t>津南</w:t>
      </w:r>
      <w:r>
        <w:rPr>
          <w:rFonts w:hint="eastAsia" w:ascii="仿宋" w:hAnsi="仿宋" w:eastAsia="仿宋" w:cs="仿宋"/>
          <w:sz w:val="28"/>
          <w:szCs w:val="28"/>
        </w:rPr>
        <w:t>水务网络</w:t>
      </w:r>
      <w:r>
        <w:rPr>
          <w:rFonts w:hint="eastAsia" w:ascii="仿宋" w:hAnsi="仿宋" w:eastAsia="仿宋" w:cs="仿宋"/>
          <w:sz w:val="28"/>
          <w:szCs w:val="28"/>
          <w:lang w:val="en-US" w:eastAsia="zh-CN"/>
        </w:rPr>
        <w:t>安全事件得到正确稳妥的处理</w:t>
      </w:r>
      <w:r>
        <w:rPr>
          <w:rFonts w:hint="eastAsia" w:ascii="仿宋" w:hAnsi="仿宋" w:eastAsia="仿宋" w:cs="仿宋"/>
          <w:sz w:val="28"/>
          <w:szCs w:val="28"/>
        </w:rPr>
        <w:t>。</w:t>
      </w:r>
    </w:p>
    <w:p>
      <w:pPr>
        <w:pStyle w:val="7"/>
        <w:ind w:firstLine="560" w:firstLineChars="200"/>
        <w:rPr>
          <w:rFonts w:ascii="仿宋" w:hAnsi="仿宋" w:eastAsia="仿宋" w:cs="仿宋"/>
          <w:sz w:val="28"/>
          <w:szCs w:val="28"/>
        </w:rPr>
      </w:pPr>
      <w:r>
        <w:rPr>
          <w:rFonts w:ascii="仿宋" w:hAnsi="仿宋" w:eastAsia="仿宋" w:cs="仿宋"/>
          <w:sz w:val="28"/>
          <w:szCs w:val="28"/>
        </w:rPr>
        <w:t>7</w:t>
      </w:r>
      <w:r>
        <w:rPr>
          <w:rFonts w:hint="eastAsia" w:ascii="仿宋" w:hAnsi="仿宋" w:eastAsia="仿宋" w:cs="仿宋"/>
          <w:sz w:val="28"/>
          <w:szCs w:val="28"/>
        </w:rPr>
        <w:t>、维护单位要制定完善的紧急故障处理流程及应急方案，保证紧急情况下快速故障处理，缩短故障处理时限。</w:t>
      </w:r>
    </w:p>
    <w:p>
      <w:pPr>
        <w:pStyle w:val="7"/>
        <w:ind w:firstLine="560" w:firstLineChars="200"/>
        <w:rPr>
          <w:rFonts w:ascii="仿宋" w:hAnsi="仿宋" w:eastAsia="仿宋" w:cs="仿宋"/>
          <w:sz w:val="28"/>
          <w:szCs w:val="28"/>
        </w:rPr>
      </w:pPr>
      <w:r>
        <w:rPr>
          <w:rFonts w:ascii="仿宋" w:hAnsi="仿宋" w:eastAsia="仿宋" w:cs="仿宋"/>
          <w:sz w:val="28"/>
          <w:szCs w:val="28"/>
        </w:rPr>
        <w:t>8</w:t>
      </w:r>
      <w:r>
        <w:rPr>
          <w:rFonts w:hint="eastAsia" w:ascii="仿宋" w:hAnsi="仿宋" w:eastAsia="仿宋" w:cs="仿宋"/>
          <w:sz w:val="28"/>
          <w:szCs w:val="28"/>
        </w:rPr>
        <w:t>、维护单位未经</w:t>
      </w:r>
      <w:r>
        <w:rPr>
          <w:rFonts w:hint="eastAsia" w:ascii="仿宋" w:hAnsi="仿宋" w:eastAsia="仿宋" w:cs="仿宋"/>
          <w:sz w:val="28"/>
          <w:szCs w:val="28"/>
          <w:lang w:val="en-US" w:eastAsia="zh-CN"/>
        </w:rPr>
        <w:t>津南</w:t>
      </w:r>
      <w:r>
        <w:rPr>
          <w:rFonts w:hint="eastAsia" w:ascii="仿宋" w:hAnsi="仿宋" w:eastAsia="仿宋" w:cs="仿宋"/>
          <w:sz w:val="28"/>
          <w:szCs w:val="28"/>
        </w:rPr>
        <w:t>水务书面许可，不得向第三方提供或泄露客户网络中线路和业务的各种参数、资料和信息。</w:t>
      </w:r>
    </w:p>
    <w:p>
      <w:pPr>
        <w:pStyle w:val="7"/>
        <w:ind w:firstLine="560" w:firstLineChars="200"/>
        <w:rPr>
          <w:rFonts w:ascii="仿宋" w:hAnsi="仿宋" w:eastAsia="仿宋" w:cs="仿宋"/>
          <w:sz w:val="28"/>
          <w:szCs w:val="28"/>
        </w:rPr>
      </w:pPr>
      <w:r>
        <w:rPr>
          <w:rFonts w:ascii="仿宋" w:hAnsi="仿宋" w:eastAsia="仿宋" w:cs="仿宋"/>
          <w:sz w:val="28"/>
          <w:szCs w:val="28"/>
        </w:rPr>
        <w:t>9</w:t>
      </w:r>
      <w:r>
        <w:rPr>
          <w:rFonts w:hint="eastAsia" w:ascii="仿宋" w:hAnsi="仿宋" w:eastAsia="仿宋" w:cs="仿宋"/>
          <w:sz w:val="28"/>
          <w:szCs w:val="28"/>
        </w:rPr>
        <w:t>、维护单位针对客户需要，提供技术支持服务，满足用户提出的支持需求，并根据约定提供相关材料。</w:t>
      </w:r>
    </w:p>
    <w:p>
      <w:pPr>
        <w:pStyle w:val="7"/>
      </w:pPr>
    </w:p>
    <w:p>
      <w:pPr>
        <w:pStyle w:val="3"/>
        <w:jc w:val="center"/>
      </w:pPr>
      <w:r>
        <w:rPr>
          <w:rFonts w:hint="eastAsia"/>
        </w:rPr>
        <w:t>报价内容</w:t>
      </w:r>
    </w:p>
    <w:p>
      <w:pPr>
        <w:pStyle w:val="4"/>
        <w:rPr>
          <w:bCs/>
          <w:sz w:val="28"/>
        </w:rPr>
      </w:pPr>
      <w:bookmarkStart w:id="0" w:name="_Toc170433546"/>
      <w:r>
        <w:rPr>
          <w:rFonts w:hint="eastAsia"/>
          <w:bCs/>
          <w:sz w:val="28"/>
        </w:rPr>
        <w:t>一、报价文件格式：</w:t>
      </w:r>
      <w:bookmarkEnd w:id="0"/>
    </w:p>
    <w:p>
      <w:pPr>
        <w:jc w:val="center"/>
        <w:rPr>
          <w:rFonts w:ascii="楷体_GB2312" w:eastAsia="楷体_GB2312"/>
          <w:b/>
          <w:sz w:val="44"/>
          <w:szCs w:val="44"/>
        </w:rPr>
      </w:pPr>
      <w:bookmarkStart w:id="1" w:name="_Toc517845082"/>
      <w:bookmarkStart w:id="2" w:name="_Toc465588538"/>
      <w:bookmarkStart w:id="3" w:name="_Toc517079309"/>
      <w:bookmarkStart w:id="4" w:name="_Toc521838031"/>
      <w:r>
        <w:rPr>
          <w:rFonts w:hint="eastAsia" w:ascii="楷体_GB2312" w:eastAsia="楷体_GB2312"/>
          <w:b/>
          <w:sz w:val="44"/>
          <w:szCs w:val="44"/>
        </w:rPr>
        <w:t>报</w:t>
      </w:r>
      <w:r>
        <w:rPr>
          <w:rFonts w:ascii="楷体_GB2312" w:eastAsia="楷体_GB2312"/>
          <w:b/>
          <w:sz w:val="44"/>
          <w:szCs w:val="44"/>
        </w:rPr>
        <w:t xml:space="preserve">  </w:t>
      </w:r>
      <w:r>
        <w:rPr>
          <w:rFonts w:hint="eastAsia" w:ascii="楷体_GB2312" w:eastAsia="楷体_GB2312"/>
          <w:b/>
          <w:sz w:val="44"/>
          <w:szCs w:val="44"/>
        </w:rPr>
        <w:t>价</w:t>
      </w:r>
      <w:r>
        <w:rPr>
          <w:rFonts w:ascii="楷体_GB2312" w:eastAsia="楷体_GB2312"/>
          <w:b/>
          <w:sz w:val="44"/>
          <w:szCs w:val="44"/>
        </w:rPr>
        <w:t xml:space="preserve">  </w:t>
      </w:r>
      <w:r>
        <w:rPr>
          <w:rFonts w:hint="eastAsia" w:ascii="楷体_GB2312" w:eastAsia="楷体_GB2312"/>
          <w:b/>
          <w:sz w:val="44"/>
          <w:szCs w:val="44"/>
        </w:rPr>
        <w:t>书</w:t>
      </w:r>
      <w:bookmarkEnd w:id="1"/>
      <w:bookmarkEnd w:id="2"/>
      <w:bookmarkEnd w:id="3"/>
      <w:bookmarkEnd w:id="4"/>
      <w:bookmarkStart w:id="5" w:name="_Hlt465588337"/>
      <w:bookmarkEnd w:id="5"/>
    </w:p>
    <w:p>
      <w:pPr>
        <w:tabs>
          <w:tab w:val="left" w:pos="120"/>
        </w:tabs>
        <w:spacing w:line="360" w:lineRule="auto"/>
        <w:jc w:val="left"/>
        <w:rPr>
          <w:rFonts w:ascii="楷体_GB2312" w:hAnsi="宋体" w:eastAsia="楷体_GB2312"/>
          <w:b/>
          <w:sz w:val="28"/>
          <w:szCs w:val="28"/>
        </w:rPr>
      </w:pPr>
      <w:r>
        <w:rPr>
          <w:rFonts w:hint="eastAsia" w:ascii="楷体_GB2312" w:hAnsi="宋体" w:eastAsia="楷体_GB2312"/>
          <w:b/>
          <w:sz w:val="28"/>
          <w:szCs w:val="28"/>
        </w:rPr>
        <w:t>天津市自来水集团津南水务有限公司：</w:t>
      </w:r>
    </w:p>
    <w:p>
      <w:pPr>
        <w:numPr>
          <w:ilvl w:val="0"/>
          <w:numId w:val="2"/>
        </w:numPr>
        <w:tabs>
          <w:tab w:val="left" w:pos="525"/>
          <w:tab w:val="clear" w:pos="420"/>
        </w:tabs>
        <w:suppressAutoHyphens/>
        <w:adjustRightInd w:val="0"/>
        <w:spacing w:line="360" w:lineRule="auto"/>
        <w:ind w:left="525"/>
        <w:textAlignment w:val="baseline"/>
        <w:rPr>
          <w:rFonts w:ascii="宋体"/>
          <w:sz w:val="28"/>
          <w:szCs w:val="28"/>
        </w:rPr>
      </w:pPr>
      <w:r>
        <w:rPr>
          <w:rFonts w:hint="eastAsia" w:ascii="宋体" w:hAnsi="宋体"/>
          <w:sz w:val="28"/>
          <w:szCs w:val="28"/>
        </w:rPr>
        <w:t>在研究了</w:t>
      </w:r>
      <w:r>
        <w:rPr>
          <w:rFonts w:ascii="宋体" w:hAnsi="宋体"/>
          <w:sz w:val="28"/>
          <w:szCs w:val="28"/>
          <w:u w:val="single"/>
        </w:rPr>
        <w:t xml:space="preserve">              </w:t>
      </w:r>
      <w:r>
        <w:rPr>
          <w:rFonts w:hint="eastAsia" w:ascii="宋体" w:hAnsi="宋体"/>
          <w:sz w:val="28"/>
          <w:szCs w:val="28"/>
          <w:lang w:val="en-US" w:eastAsia="zh-CN"/>
        </w:rPr>
        <w:t>询</w:t>
      </w:r>
      <w:r>
        <w:rPr>
          <w:rFonts w:hint="eastAsia" w:ascii="宋体" w:hAnsi="宋体"/>
          <w:sz w:val="28"/>
          <w:szCs w:val="28"/>
        </w:rPr>
        <w:t>价文件中的所有内容后，我们根据上述各种资料数据，报价为：人民币</w:t>
      </w:r>
      <w:r>
        <w:rPr>
          <w:rFonts w:ascii="宋体" w:hAnsi="宋体"/>
          <w:b/>
          <w:sz w:val="28"/>
          <w:szCs w:val="28"/>
          <w:u w:val="single"/>
        </w:rPr>
        <w:t xml:space="preserve"> </w:t>
      </w:r>
      <w:r>
        <w:rPr>
          <w:rFonts w:hint="eastAsia" w:ascii="宋体" w:hAnsi="宋体"/>
          <w:b/>
          <w:sz w:val="28"/>
          <w:szCs w:val="28"/>
          <w:u w:val="single"/>
        </w:rPr>
        <w:t>　　</w:t>
      </w:r>
      <w:r>
        <w:rPr>
          <w:rFonts w:ascii="宋体" w:hAnsi="宋体"/>
          <w:b/>
          <w:sz w:val="28"/>
          <w:szCs w:val="28"/>
          <w:u w:val="single"/>
        </w:rPr>
        <w:t xml:space="preserve"> </w:t>
      </w:r>
      <w:r>
        <w:rPr>
          <w:rFonts w:hint="eastAsia" w:ascii="宋体" w:hAnsi="宋体"/>
          <w:b/>
          <w:sz w:val="28"/>
          <w:szCs w:val="28"/>
        </w:rPr>
        <w:t>元</w:t>
      </w:r>
      <w:r>
        <w:rPr>
          <w:rFonts w:ascii="宋体" w:hAnsi="宋体"/>
          <w:b/>
          <w:sz w:val="28"/>
          <w:szCs w:val="28"/>
        </w:rPr>
        <w:t xml:space="preserve"> </w:t>
      </w:r>
      <w:r>
        <w:rPr>
          <w:rFonts w:hint="eastAsia" w:ascii="宋体" w:hAnsi="宋体"/>
          <w:b/>
          <w:sz w:val="28"/>
          <w:szCs w:val="28"/>
        </w:rPr>
        <w:t>（大写：</w:t>
      </w:r>
      <w:r>
        <w:rPr>
          <w:rFonts w:ascii="宋体" w:hAnsi="宋体"/>
          <w:b/>
          <w:sz w:val="28"/>
          <w:szCs w:val="28"/>
          <w:u w:val="single"/>
        </w:rPr>
        <w:t xml:space="preserve">   </w:t>
      </w:r>
      <w:r>
        <w:rPr>
          <w:rFonts w:hint="eastAsia" w:ascii="宋体" w:hAnsi="宋体"/>
          <w:b/>
          <w:sz w:val="28"/>
          <w:szCs w:val="28"/>
          <w:u w:val="single"/>
        </w:rPr>
        <w:t>　　</w:t>
      </w:r>
      <w:r>
        <w:rPr>
          <w:rFonts w:ascii="宋体" w:hAnsi="宋体"/>
          <w:b/>
          <w:sz w:val="28"/>
          <w:szCs w:val="28"/>
          <w:u w:val="single"/>
        </w:rPr>
        <w:t xml:space="preserve">             </w:t>
      </w:r>
      <w:r>
        <w:rPr>
          <w:rFonts w:hint="eastAsia" w:ascii="宋体" w:hAnsi="宋体"/>
          <w:b/>
          <w:sz w:val="28"/>
          <w:szCs w:val="28"/>
        </w:rPr>
        <w:t>）。</w:t>
      </w:r>
    </w:p>
    <w:p>
      <w:pPr>
        <w:numPr>
          <w:ilvl w:val="0"/>
          <w:numId w:val="2"/>
        </w:numPr>
        <w:tabs>
          <w:tab w:val="left" w:pos="525"/>
          <w:tab w:val="clear" w:pos="420"/>
        </w:tabs>
        <w:suppressAutoHyphens/>
        <w:adjustRightInd w:val="0"/>
        <w:spacing w:line="360" w:lineRule="auto"/>
        <w:ind w:left="525"/>
        <w:textAlignment w:val="baseline"/>
        <w:rPr>
          <w:rFonts w:hint="eastAsia" w:ascii="宋体" w:hAnsi="宋体" w:eastAsia="宋体" w:cs="Times New Roman"/>
          <w:sz w:val="28"/>
          <w:szCs w:val="28"/>
        </w:rPr>
      </w:pPr>
      <w:r>
        <w:rPr>
          <w:rFonts w:hint="eastAsia" w:ascii="宋体" w:hAnsi="宋体" w:eastAsia="宋体" w:cs="Times New Roman"/>
          <w:sz w:val="28"/>
          <w:szCs w:val="28"/>
          <w:lang w:val="en-US" w:eastAsia="zh-CN"/>
        </w:rPr>
        <w:t>服务</w:t>
      </w:r>
      <w:r>
        <w:rPr>
          <w:rFonts w:hint="eastAsia" w:ascii="宋体" w:hAnsi="宋体" w:eastAsia="宋体" w:cs="Times New Roman"/>
          <w:sz w:val="28"/>
          <w:szCs w:val="28"/>
        </w:rPr>
        <w:t>期：</w:t>
      </w:r>
      <w:r>
        <w:rPr>
          <w:rFonts w:hint="eastAsia"/>
          <w:sz w:val="28"/>
          <w:szCs w:val="28"/>
        </w:rPr>
        <w:t>自签订合同</w:t>
      </w:r>
      <w:r>
        <w:rPr>
          <w:rFonts w:hint="eastAsia"/>
          <w:sz w:val="28"/>
          <w:szCs w:val="28"/>
          <w:lang w:val="en-US" w:eastAsia="zh-CN"/>
        </w:rPr>
        <w:t>之</w:t>
      </w:r>
      <w:r>
        <w:rPr>
          <w:rFonts w:hint="eastAsia"/>
          <w:sz w:val="28"/>
          <w:szCs w:val="28"/>
        </w:rPr>
        <w:t>日起1</w:t>
      </w:r>
      <w:r>
        <w:rPr>
          <w:rFonts w:hint="eastAsia"/>
          <w:sz w:val="28"/>
          <w:szCs w:val="28"/>
          <w:lang w:val="en-US" w:eastAsia="zh-CN"/>
        </w:rPr>
        <w:t>年</w:t>
      </w:r>
      <w:r>
        <w:rPr>
          <w:rFonts w:hint="eastAsia"/>
          <w:sz w:val="28"/>
          <w:szCs w:val="28"/>
        </w:rPr>
        <w:t>。</w:t>
      </w:r>
    </w:p>
    <w:p>
      <w:pPr>
        <w:keepNext w:val="0"/>
        <w:keepLines w:val="0"/>
        <w:pageBreakBefore w:val="0"/>
        <w:widowControl w:val="0"/>
        <w:kinsoku/>
        <w:wordWrap/>
        <w:overflowPunct/>
        <w:topLinePunct w:val="0"/>
        <w:autoSpaceDE/>
        <w:autoSpaceDN/>
        <w:bidi w:val="0"/>
        <w:adjustRightInd/>
        <w:snapToGrid/>
        <w:spacing w:line="440" w:lineRule="exact"/>
        <w:ind w:left="561" w:leftChars="267"/>
        <w:textAlignment w:val="auto"/>
        <w:rPr>
          <w:rFonts w:ascii="宋体"/>
          <w:sz w:val="28"/>
          <w:szCs w:val="28"/>
        </w:rPr>
      </w:pPr>
      <w:r>
        <w:rPr>
          <w:rFonts w:hint="eastAsia"/>
          <w:sz w:val="28"/>
          <w:szCs w:val="28"/>
        </w:rPr>
        <w:t>付款方式：</w:t>
      </w:r>
      <w:r>
        <w:rPr>
          <w:rFonts w:hint="eastAsia" w:ascii="Times New Roman" w:hAnsi="Times New Roman" w:eastAsia="宋体" w:cs="Times New Roman"/>
          <w:sz w:val="28"/>
          <w:szCs w:val="28"/>
          <w:lang w:val="en-US" w:eastAsia="zh-CN"/>
        </w:rPr>
        <w:t>合同后签订后半年一支付</w:t>
      </w:r>
      <w:r>
        <w:rPr>
          <w:rFonts w:hint="eastAsia"/>
          <w:sz w:val="28"/>
          <w:szCs w:val="28"/>
        </w:rPr>
        <w:t>。</w:t>
      </w:r>
    </w:p>
    <w:p>
      <w:pPr>
        <w:numPr>
          <w:ilvl w:val="0"/>
          <w:numId w:val="2"/>
        </w:numPr>
        <w:tabs>
          <w:tab w:val="left" w:pos="525"/>
          <w:tab w:val="clear" w:pos="420"/>
        </w:tabs>
        <w:spacing w:line="360" w:lineRule="auto"/>
        <w:ind w:left="525"/>
        <w:rPr>
          <w:rFonts w:ascii="宋体"/>
          <w:sz w:val="28"/>
          <w:szCs w:val="28"/>
        </w:rPr>
      </w:pPr>
      <w:r>
        <w:rPr>
          <w:rFonts w:hint="eastAsia" w:ascii="宋体" w:hAnsi="宋体"/>
          <w:sz w:val="28"/>
          <w:szCs w:val="28"/>
        </w:rPr>
        <w:t>所有附件均为我们报价书的组成部分。</w:t>
      </w:r>
    </w:p>
    <w:p>
      <w:pPr>
        <w:numPr>
          <w:ilvl w:val="0"/>
          <w:numId w:val="2"/>
        </w:numPr>
        <w:tabs>
          <w:tab w:val="left" w:pos="525"/>
          <w:tab w:val="clear" w:pos="420"/>
        </w:tabs>
        <w:suppressAutoHyphens/>
        <w:adjustRightInd w:val="0"/>
        <w:spacing w:line="360" w:lineRule="auto"/>
        <w:ind w:left="525"/>
        <w:textAlignment w:val="baseline"/>
        <w:rPr>
          <w:rFonts w:ascii="宋体"/>
          <w:sz w:val="28"/>
          <w:szCs w:val="28"/>
        </w:rPr>
      </w:pPr>
      <w:r>
        <w:rPr>
          <w:rFonts w:hint="eastAsia" w:ascii="宋体" w:hAnsi="宋体"/>
          <w:sz w:val="28"/>
          <w:szCs w:val="28"/>
        </w:rPr>
        <w:t>本报价书的报价有效期为报价之日起</w:t>
      </w:r>
      <w:r>
        <w:rPr>
          <w:rFonts w:ascii="宋体" w:hAnsi="宋体"/>
          <w:sz w:val="28"/>
          <w:szCs w:val="28"/>
        </w:rPr>
        <w:t>20</w:t>
      </w:r>
      <w:r>
        <w:rPr>
          <w:rFonts w:hint="eastAsia" w:ascii="宋体" w:hAnsi="宋体"/>
          <w:sz w:val="28"/>
          <w:szCs w:val="28"/>
        </w:rPr>
        <w:t>天内。</w:t>
      </w:r>
    </w:p>
    <w:p>
      <w:pPr>
        <w:numPr>
          <w:ilvl w:val="0"/>
          <w:numId w:val="2"/>
        </w:numPr>
        <w:tabs>
          <w:tab w:val="left" w:pos="525"/>
          <w:tab w:val="clear" w:pos="420"/>
        </w:tabs>
        <w:suppressAutoHyphens/>
        <w:adjustRightInd w:val="0"/>
        <w:spacing w:line="360" w:lineRule="auto"/>
        <w:ind w:left="525"/>
        <w:textAlignment w:val="baseline"/>
        <w:rPr>
          <w:rFonts w:ascii="宋体"/>
          <w:sz w:val="28"/>
          <w:szCs w:val="28"/>
        </w:rPr>
      </w:pPr>
      <w:r>
        <w:rPr>
          <w:rFonts w:hint="eastAsia" w:ascii="宋体" w:hAnsi="宋体"/>
          <w:sz w:val="28"/>
          <w:szCs w:val="28"/>
        </w:rPr>
        <w:t>其他：</w:t>
      </w:r>
      <w:r>
        <w:rPr>
          <w:rFonts w:hint="eastAsia" w:ascii="宋体" w:hAnsi="宋体"/>
          <w:sz w:val="28"/>
          <w:szCs w:val="28"/>
          <w:u w:val="single"/>
        </w:rPr>
        <w:t>响应</w:t>
      </w:r>
      <w:r>
        <w:rPr>
          <w:rFonts w:hint="eastAsia" w:ascii="宋体" w:hAnsi="宋体"/>
          <w:sz w:val="28"/>
          <w:szCs w:val="28"/>
          <w:u w:val="single"/>
          <w:lang w:val="en-US" w:eastAsia="zh-CN"/>
        </w:rPr>
        <w:t>询</w:t>
      </w:r>
      <w:r>
        <w:rPr>
          <w:rFonts w:hint="eastAsia" w:ascii="宋体" w:hAnsi="宋体"/>
          <w:sz w:val="28"/>
          <w:szCs w:val="28"/>
          <w:u w:val="single"/>
        </w:rPr>
        <w:t>价文件中所有实质性要求。</w:t>
      </w:r>
      <w:r>
        <w:rPr>
          <w:rFonts w:ascii="宋体" w:hAnsi="宋体"/>
          <w:sz w:val="28"/>
          <w:szCs w:val="28"/>
          <w:u w:val="single"/>
        </w:rPr>
        <w:t xml:space="preserve">  </w:t>
      </w:r>
    </w:p>
    <w:p>
      <w:pPr>
        <w:suppressAutoHyphens/>
        <w:spacing w:line="360" w:lineRule="auto"/>
        <w:jc w:val="center"/>
        <w:rPr>
          <w:rFonts w:ascii="宋体"/>
          <w:sz w:val="28"/>
          <w:szCs w:val="28"/>
        </w:rPr>
      </w:pPr>
      <w:r>
        <w:rPr>
          <w:rFonts w:ascii="宋体" w:hAnsi="宋体"/>
          <w:sz w:val="28"/>
          <w:szCs w:val="28"/>
        </w:rPr>
        <w:t xml:space="preserve">                       </w:t>
      </w:r>
    </w:p>
    <w:p>
      <w:pPr>
        <w:suppressAutoHyphens/>
        <w:spacing w:line="360" w:lineRule="auto"/>
        <w:jc w:val="center"/>
        <w:rPr>
          <w:rFonts w:ascii="宋体"/>
          <w:sz w:val="28"/>
          <w:szCs w:val="28"/>
        </w:rPr>
      </w:pPr>
    </w:p>
    <w:p>
      <w:pPr>
        <w:suppressAutoHyphens/>
        <w:spacing w:line="360" w:lineRule="auto"/>
        <w:jc w:val="center"/>
        <w:rPr>
          <w:rFonts w:ascii="宋体"/>
          <w:sz w:val="28"/>
          <w:szCs w:val="28"/>
          <w:u w:val="single"/>
        </w:rPr>
      </w:pPr>
      <w:r>
        <w:rPr>
          <w:rFonts w:ascii="宋体" w:hAnsi="宋体"/>
          <w:sz w:val="28"/>
          <w:szCs w:val="28"/>
        </w:rPr>
        <w:t xml:space="preserve">                   </w:t>
      </w:r>
      <w:r>
        <w:rPr>
          <w:rFonts w:hint="eastAsia" w:ascii="宋体" w:hAnsi="宋体"/>
          <w:sz w:val="28"/>
          <w:szCs w:val="28"/>
        </w:rPr>
        <w:t>单位：</w:t>
      </w:r>
      <w:r>
        <w:rPr>
          <w:rFonts w:hint="eastAsia" w:ascii="宋体" w:hAnsi="宋体"/>
          <w:sz w:val="28"/>
          <w:szCs w:val="28"/>
          <w:u w:val="single"/>
        </w:rPr>
        <w:t>　　</w:t>
      </w:r>
      <w:r>
        <w:rPr>
          <w:rFonts w:ascii="宋体" w:hAnsi="宋体"/>
          <w:sz w:val="28"/>
          <w:szCs w:val="28"/>
          <w:u w:val="single"/>
        </w:rPr>
        <w:t xml:space="preserve">   (</w:t>
      </w:r>
      <w:r>
        <w:rPr>
          <w:rFonts w:hint="eastAsia" w:ascii="宋体" w:hAnsi="宋体"/>
          <w:sz w:val="28"/>
          <w:szCs w:val="28"/>
          <w:u w:val="single"/>
        </w:rPr>
        <w:t>盖章</w:t>
      </w:r>
      <w:r>
        <w:rPr>
          <w:rFonts w:ascii="宋体" w:hAnsi="宋体"/>
          <w:sz w:val="28"/>
          <w:szCs w:val="28"/>
          <w:u w:val="single"/>
        </w:rPr>
        <w:t xml:space="preserve">)      </w:t>
      </w:r>
    </w:p>
    <w:p>
      <w:pPr>
        <w:suppressAutoHyphens/>
        <w:spacing w:line="360" w:lineRule="auto"/>
        <w:jc w:val="center"/>
        <w:rPr>
          <w:rFonts w:hint="eastAsia" w:ascii="宋体" w:hAnsi="宋体"/>
          <w:sz w:val="28"/>
          <w:szCs w:val="28"/>
        </w:rPr>
      </w:pPr>
      <w:r>
        <w:rPr>
          <w:rFonts w:ascii="宋体" w:hAnsi="宋体"/>
          <w:sz w:val="28"/>
          <w:szCs w:val="28"/>
        </w:rPr>
        <w:t xml:space="preserve">      </w:t>
      </w:r>
      <w:r>
        <w:rPr>
          <w:rFonts w:hint="eastAsia" w:ascii="宋体" w:hAnsi="宋体"/>
          <w:sz w:val="28"/>
          <w:szCs w:val="28"/>
        </w:rPr>
        <w:t>日期：</w:t>
      </w:r>
    </w:p>
    <w:p>
      <w:pPr>
        <w:suppressAutoHyphens/>
        <w:spacing w:line="360" w:lineRule="auto"/>
        <w:jc w:val="center"/>
        <w:rPr>
          <w:rFonts w:hint="eastAsia" w:ascii="宋体" w:hAnsi="宋体"/>
          <w:sz w:val="28"/>
          <w:szCs w:val="28"/>
        </w:rPr>
      </w:pPr>
    </w:p>
    <w:p>
      <w:pPr>
        <w:suppressAutoHyphens/>
        <w:spacing w:line="360" w:lineRule="auto"/>
        <w:rPr>
          <w:rFonts w:ascii="宋体"/>
          <w:sz w:val="28"/>
          <w:szCs w:val="28"/>
        </w:rPr>
        <w:sectPr>
          <w:headerReference r:id="rId4" w:type="first"/>
          <w:footerReference r:id="rId6" w:type="first"/>
          <w:headerReference r:id="rId3" w:type="default"/>
          <w:footerReference r:id="rId5" w:type="even"/>
          <w:pgSz w:w="11907" w:h="16840"/>
          <w:pgMar w:top="1558" w:right="1134" w:bottom="1134" w:left="1418" w:header="699" w:footer="1340" w:gutter="0"/>
          <w:pgNumType w:start="0"/>
          <w:cols w:space="720" w:num="1"/>
          <w:titlePg/>
          <w:docGrid w:type="lines" w:linePitch="312" w:charSpace="0"/>
        </w:sectPr>
      </w:pPr>
    </w:p>
    <w:p>
      <w:pPr>
        <w:pStyle w:val="4"/>
      </w:pPr>
      <w:r>
        <w:rPr>
          <w:rFonts w:hint="eastAsia"/>
        </w:rPr>
        <w:t>二、资质文件（复印件需加盖公章</w:t>
      </w:r>
      <w:r>
        <w:rPr>
          <w:rFonts w:hint="eastAsia"/>
          <w:lang w:eastAsia="zh-CN"/>
        </w:rPr>
        <w:t>、</w:t>
      </w:r>
      <w:r>
        <w:rPr>
          <w:rFonts w:hint="eastAsia"/>
          <w:lang w:val="en-US" w:eastAsia="zh-CN"/>
        </w:rPr>
        <w:t>法人章</w:t>
      </w:r>
      <w:r>
        <w:rPr>
          <w:rFonts w:hint="eastAsia"/>
        </w:rPr>
        <w:t>）</w:t>
      </w:r>
    </w:p>
    <w:p>
      <w:pPr>
        <w:pStyle w:val="7"/>
      </w:pPr>
    </w:p>
    <w:p>
      <w:pPr>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12"/>
        <w:widowControl w:val="0"/>
        <w:tabs>
          <w:tab w:val="left" w:pos="0"/>
          <w:tab w:val="left" w:pos="1134"/>
        </w:tabs>
        <w:ind w:right="-107"/>
        <w:jc w:val="both"/>
        <w:rPr>
          <w:rFonts w:hint="eastAsia" w:ascii="宋体" w:hAnsi="宋体" w:eastAsia="宋体" w:cs="宋体"/>
          <w:sz w:val="24"/>
          <w:szCs w:val="24"/>
          <w:lang w:val="en-US" w:eastAsia="zh-CN"/>
        </w:rPr>
      </w:pPr>
    </w:p>
    <w:p>
      <w:pPr>
        <w:pStyle w:val="7"/>
        <w:rPr>
          <w:rFonts w:ascii="宋体" w:hAnsi="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2220301-0E1F-44D8-B84C-A6CD4C815F4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2" w:fontKey="{59D57574-5740-43FC-903B-84C084592B49}"/>
  </w:font>
  <w:font w:name="方正小标宋简体">
    <w:panose1 w:val="02000000000000000000"/>
    <w:charset w:val="86"/>
    <w:family w:val="auto"/>
    <w:pitch w:val="default"/>
    <w:sig w:usb0="00000001" w:usb1="08000000" w:usb2="00000000" w:usb3="00000000" w:csb0="00040000" w:csb1="00000000"/>
    <w:embedRegular r:id="rId3" w:fontKey="{A15C46C7-CB1C-47A3-837F-12E83A10E073}"/>
  </w:font>
  <w:font w:name="仿宋_GB2312">
    <w:panose1 w:val="02010609030101010101"/>
    <w:charset w:val="86"/>
    <w:family w:val="modern"/>
    <w:pitch w:val="default"/>
    <w:sig w:usb0="00000001" w:usb1="080E0000" w:usb2="00000000" w:usb3="00000000" w:csb0="00040000" w:csb1="00000000"/>
    <w:embedRegular r:id="rId4" w:fontKey="{6CC3E365-B86C-43C3-BB4C-9321718314C4}"/>
  </w:font>
  <w:font w:name="Wingdings 2">
    <w:panose1 w:val="05020102010507070707"/>
    <w:charset w:val="02"/>
    <w:family w:val="auto"/>
    <w:pitch w:val="default"/>
    <w:sig w:usb0="00000000" w:usb1="00000000" w:usb2="00000000" w:usb3="00000000" w:csb0="80000000" w:csb1="00000000"/>
    <w:embedRegular r:id="rId5" w:fontKey="{0593CC1B-3B0E-41A6-BBA1-0D188AB9DDC5}"/>
  </w:font>
  <w:font w:name="楷体_GB2312">
    <w:altName w:val="楷体"/>
    <w:panose1 w:val="02010609030101010101"/>
    <w:charset w:val="86"/>
    <w:family w:val="modern"/>
    <w:pitch w:val="default"/>
    <w:sig w:usb0="00000000" w:usb1="00000000" w:usb2="00000010" w:usb3="00000000" w:csb0="00040000" w:csb1="00000000"/>
    <w:embedRegular r:id="rId6" w:fontKey="{2BC4B557-F65D-4802-9241-0A9BF59B8D43}"/>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6"/>
      </w:rPr>
    </w:pPr>
    <w:r>
      <w:rPr>
        <w:rStyle w:val="16"/>
      </w:rPr>
      <w:fldChar w:fldCharType="begin"/>
    </w:r>
    <w:r>
      <w:rPr>
        <w:rStyle w:val="16"/>
      </w:rPr>
      <w:instrText xml:space="preserve">PAGE  </w:instrText>
    </w:r>
    <w:r>
      <w:rPr>
        <w:rStyle w:val="16"/>
      </w:rP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lang w:val="zh-CN"/>
      </w:rPr>
      <w:t>[键入文字]</w:t>
    </w:r>
  </w:p>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700" w:lineRule="exact"/>
      <w:rPr>
        <w:rFonts w:hint="eastAsia" w:ascii="仿宋_GB2312" w:eastAsia="仿宋_GB2312"/>
        <w:b/>
        <w:sz w:val="7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1F4FEB"/>
    <w:multiLevelType w:val="singleLevel"/>
    <w:tmpl w:val="4E1F4FEB"/>
    <w:lvl w:ilvl="0" w:tentative="0">
      <w:start w:val="1"/>
      <w:numFmt w:val="decimal"/>
      <w:lvlText w:val="%1."/>
      <w:lvlJc w:val="left"/>
      <w:pPr>
        <w:tabs>
          <w:tab w:val="left" w:pos="420"/>
        </w:tabs>
        <w:ind w:left="420" w:hanging="420"/>
      </w:pPr>
      <w:rPr>
        <w:rFonts w:hint="default" w:cs="Times New Roman"/>
      </w:rPr>
    </w:lvl>
  </w:abstractNum>
  <w:abstractNum w:abstractNumId="1">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5"/>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xMjdlNWZmZTI2Y2FmODMyNmQwNjMzNGI1MjA0YTgifQ=="/>
  </w:docVars>
  <w:rsids>
    <w:rsidRoot w:val="006A13EF"/>
    <w:rsid w:val="0000463B"/>
    <w:rsid w:val="00010ABF"/>
    <w:rsid w:val="00021316"/>
    <w:rsid w:val="00047033"/>
    <w:rsid w:val="00051987"/>
    <w:rsid w:val="000A08B3"/>
    <w:rsid w:val="000B1EB8"/>
    <w:rsid w:val="000C3A6A"/>
    <w:rsid w:val="000D2FF8"/>
    <w:rsid w:val="000D4B82"/>
    <w:rsid w:val="000F0A44"/>
    <w:rsid w:val="00132A9D"/>
    <w:rsid w:val="001334D5"/>
    <w:rsid w:val="001637F8"/>
    <w:rsid w:val="00167603"/>
    <w:rsid w:val="00177907"/>
    <w:rsid w:val="00197487"/>
    <w:rsid w:val="001A17E1"/>
    <w:rsid w:val="001B717F"/>
    <w:rsid w:val="001D05E7"/>
    <w:rsid w:val="001E7490"/>
    <w:rsid w:val="001E7FEC"/>
    <w:rsid w:val="001F65C4"/>
    <w:rsid w:val="00214F0F"/>
    <w:rsid w:val="00245946"/>
    <w:rsid w:val="00274C00"/>
    <w:rsid w:val="002803A4"/>
    <w:rsid w:val="002B4A2F"/>
    <w:rsid w:val="002B584D"/>
    <w:rsid w:val="002D01B2"/>
    <w:rsid w:val="002D40A6"/>
    <w:rsid w:val="002D6A82"/>
    <w:rsid w:val="003310EF"/>
    <w:rsid w:val="0034202C"/>
    <w:rsid w:val="003603BA"/>
    <w:rsid w:val="003B4D1F"/>
    <w:rsid w:val="003E18B4"/>
    <w:rsid w:val="003E1C7A"/>
    <w:rsid w:val="003F1511"/>
    <w:rsid w:val="004056C4"/>
    <w:rsid w:val="00413251"/>
    <w:rsid w:val="00444C14"/>
    <w:rsid w:val="00445897"/>
    <w:rsid w:val="004474DD"/>
    <w:rsid w:val="004627AA"/>
    <w:rsid w:val="0048541E"/>
    <w:rsid w:val="004A0C2E"/>
    <w:rsid w:val="004A1C0E"/>
    <w:rsid w:val="004B3DAB"/>
    <w:rsid w:val="004E3F67"/>
    <w:rsid w:val="00510A39"/>
    <w:rsid w:val="005140D1"/>
    <w:rsid w:val="005276B8"/>
    <w:rsid w:val="005447D6"/>
    <w:rsid w:val="00555415"/>
    <w:rsid w:val="005957C3"/>
    <w:rsid w:val="005A05DC"/>
    <w:rsid w:val="005A21FB"/>
    <w:rsid w:val="005D6710"/>
    <w:rsid w:val="00625120"/>
    <w:rsid w:val="0069782B"/>
    <w:rsid w:val="006A13EF"/>
    <w:rsid w:val="006B22FF"/>
    <w:rsid w:val="006C5D69"/>
    <w:rsid w:val="006D571A"/>
    <w:rsid w:val="006D695C"/>
    <w:rsid w:val="006E3743"/>
    <w:rsid w:val="006F3B30"/>
    <w:rsid w:val="007103A1"/>
    <w:rsid w:val="00747E24"/>
    <w:rsid w:val="00794718"/>
    <w:rsid w:val="007C3167"/>
    <w:rsid w:val="007C417C"/>
    <w:rsid w:val="007F585D"/>
    <w:rsid w:val="00847686"/>
    <w:rsid w:val="008D0340"/>
    <w:rsid w:val="008D28F2"/>
    <w:rsid w:val="008D4AA6"/>
    <w:rsid w:val="008E1540"/>
    <w:rsid w:val="00910527"/>
    <w:rsid w:val="00960645"/>
    <w:rsid w:val="009801B6"/>
    <w:rsid w:val="009A4846"/>
    <w:rsid w:val="009D3A7C"/>
    <w:rsid w:val="00A426CD"/>
    <w:rsid w:val="00A63AF6"/>
    <w:rsid w:val="00A8080E"/>
    <w:rsid w:val="00A93D36"/>
    <w:rsid w:val="00AA5605"/>
    <w:rsid w:val="00AB0E9A"/>
    <w:rsid w:val="00AB3B1F"/>
    <w:rsid w:val="00AC5D05"/>
    <w:rsid w:val="00AC6261"/>
    <w:rsid w:val="00AC736A"/>
    <w:rsid w:val="00B06234"/>
    <w:rsid w:val="00B12CA8"/>
    <w:rsid w:val="00B158DF"/>
    <w:rsid w:val="00B632D2"/>
    <w:rsid w:val="00B85B1E"/>
    <w:rsid w:val="00C4079E"/>
    <w:rsid w:val="00C86A81"/>
    <w:rsid w:val="00CB195C"/>
    <w:rsid w:val="00CF6546"/>
    <w:rsid w:val="00D1098C"/>
    <w:rsid w:val="00D227AD"/>
    <w:rsid w:val="00D36158"/>
    <w:rsid w:val="00D605B5"/>
    <w:rsid w:val="00D84E03"/>
    <w:rsid w:val="00DB33FC"/>
    <w:rsid w:val="00DC4367"/>
    <w:rsid w:val="00E00900"/>
    <w:rsid w:val="00E05A6E"/>
    <w:rsid w:val="00E94D1D"/>
    <w:rsid w:val="00EB0B29"/>
    <w:rsid w:val="00ED6A05"/>
    <w:rsid w:val="00F407D9"/>
    <w:rsid w:val="00F5079A"/>
    <w:rsid w:val="00F66C7F"/>
    <w:rsid w:val="00F71481"/>
    <w:rsid w:val="00FB7F9F"/>
    <w:rsid w:val="032A7F10"/>
    <w:rsid w:val="03564EBB"/>
    <w:rsid w:val="063665EC"/>
    <w:rsid w:val="16BF0A5F"/>
    <w:rsid w:val="2A53244F"/>
    <w:rsid w:val="31FA714C"/>
    <w:rsid w:val="42C26E30"/>
    <w:rsid w:val="47262CB9"/>
    <w:rsid w:val="49396E0F"/>
    <w:rsid w:val="4FC6683D"/>
    <w:rsid w:val="62A3189F"/>
    <w:rsid w:val="63EC1D97"/>
    <w:rsid w:val="70105F68"/>
    <w:rsid w:val="72AC350C"/>
    <w:rsid w:val="73340E0C"/>
    <w:rsid w:val="76764336"/>
    <w:rsid w:val="7C371162"/>
    <w:rsid w:val="7EFE05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adjustRightInd w:val="0"/>
      <w:spacing w:before="340" w:after="330" w:line="578" w:lineRule="atLeast"/>
      <w:textAlignment w:val="baseline"/>
      <w:outlineLvl w:val="0"/>
    </w:pPr>
    <w:rPr>
      <w:b/>
      <w:kern w:val="44"/>
      <w:sz w:val="44"/>
      <w:szCs w:val="20"/>
    </w:rPr>
  </w:style>
  <w:style w:type="paragraph" w:styleId="4">
    <w:name w:val="heading 2"/>
    <w:basedOn w:val="1"/>
    <w:next w:val="2"/>
    <w:qFormat/>
    <w:uiPriority w:val="0"/>
    <w:pPr>
      <w:keepNext/>
      <w:keepLines/>
      <w:adjustRightInd w:val="0"/>
      <w:spacing w:before="260" w:after="260" w:line="416" w:lineRule="atLeast"/>
      <w:textAlignment w:val="baseline"/>
      <w:outlineLvl w:val="1"/>
    </w:pPr>
    <w:rPr>
      <w:rFonts w:ascii="Arial" w:hAnsi="Arial" w:eastAsia="黑体"/>
      <w:b/>
      <w:kern w:val="0"/>
      <w:sz w:val="32"/>
      <w:szCs w:val="20"/>
    </w:rPr>
  </w:style>
  <w:style w:type="paragraph" w:styleId="5">
    <w:name w:val="heading 3"/>
    <w:basedOn w:val="1"/>
    <w:next w:val="1"/>
    <w:autoRedefine/>
    <w:qFormat/>
    <w:uiPriority w:val="0"/>
    <w:pPr>
      <w:keepNext/>
      <w:keepLines/>
      <w:widowControl/>
      <w:numPr>
        <w:ilvl w:val="2"/>
        <w:numId w:val="1"/>
      </w:numPr>
      <w:spacing w:before="120" w:after="120" w:line="360" w:lineRule="auto"/>
      <w:jc w:val="center"/>
      <w:outlineLvl w:val="2"/>
    </w:pPr>
    <w:rPr>
      <w:b/>
      <w:kern w:val="0"/>
      <w:sz w:val="32"/>
      <w:szCs w:val="20"/>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6">
    <w:name w:val="List 3"/>
    <w:basedOn w:val="1"/>
    <w:autoRedefine/>
    <w:qFormat/>
    <w:uiPriority w:val="0"/>
    <w:pPr>
      <w:ind w:left="100" w:leftChars="400" w:hanging="200" w:hangingChars="200"/>
    </w:pPr>
  </w:style>
  <w:style w:type="paragraph" w:styleId="7">
    <w:name w:val="Body Text"/>
    <w:basedOn w:val="1"/>
    <w:link w:val="21"/>
    <w:qFormat/>
    <w:uiPriority w:val="0"/>
    <w:pPr>
      <w:spacing w:after="120"/>
    </w:pPr>
    <w:rPr>
      <w:rFonts w:ascii="Calibri" w:hAnsi="Calibri" w:eastAsia="宋体" w:cs="Times New Roman"/>
      <w:szCs w:val="24"/>
    </w:rPr>
  </w:style>
  <w:style w:type="paragraph" w:styleId="8">
    <w:name w:val="Date"/>
    <w:basedOn w:val="1"/>
    <w:next w:val="1"/>
    <w:link w:val="20"/>
    <w:autoRedefine/>
    <w:semiHidden/>
    <w:unhideWhenUsed/>
    <w:qFormat/>
    <w:uiPriority w:val="99"/>
    <w:pPr>
      <w:ind w:left="100" w:leftChars="2500"/>
    </w:pPr>
  </w:style>
  <w:style w:type="paragraph" w:styleId="9">
    <w:name w:val="Balloon Text"/>
    <w:basedOn w:val="1"/>
    <w:link w:val="22"/>
    <w:autoRedefine/>
    <w:semiHidden/>
    <w:unhideWhenUsed/>
    <w:qFormat/>
    <w:uiPriority w:val="99"/>
    <w:rPr>
      <w:sz w:val="18"/>
      <w:szCs w:val="18"/>
    </w:rPr>
  </w:style>
  <w:style w:type="paragraph" w:styleId="10">
    <w:name w:val="footer"/>
    <w:basedOn w:val="1"/>
    <w:link w:val="19"/>
    <w:autoRedefine/>
    <w:unhideWhenUsed/>
    <w:qFormat/>
    <w:uiPriority w:val="99"/>
    <w:pPr>
      <w:tabs>
        <w:tab w:val="center" w:pos="4153"/>
        <w:tab w:val="right" w:pos="8306"/>
      </w:tabs>
      <w:snapToGrid w:val="0"/>
      <w:jc w:val="left"/>
    </w:pPr>
    <w:rPr>
      <w:sz w:val="18"/>
      <w:szCs w:val="18"/>
    </w:rPr>
  </w:style>
  <w:style w:type="paragraph" w:styleId="11">
    <w:name w:val="header"/>
    <w:basedOn w:val="1"/>
    <w:link w:val="1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widowControl/>
      <w:spacing w:before="100" w:beforeAutospacing="1" w:after="100" w:afterAutospacing="1"/>
      <w:jc w:val="left"/>
    </w:pPr>
    <w:rPr>
      <w:rFonts w:hint="eastAsia" w:ascii="宋体" w:hAnsi="宋体"/>
      <w:kern w:val="0"/>
      <w:sz w:val="24"/>
    </w:rPr>
  </w:style>
  <w:style w:type="character" w:styleId="15">
    <w:name w:val="Strong"/>
    <w:autoRedefine/>
    <w:qFormat/>
    <w:uiPriority w:val="0"/>
    <w:rPr>
      <w:b/>
      <w:bCs/>
    </w:rPr>
  </w:style>
  <w:style w:type="character" w:styleId="16">
    <w:name w:val="page number"/>
    <w:basedOn w:val="14"/>
    <w:qFormat/>
    <w:uiPriority w:val="0"/>
  </w:style>
  <w:style w:type="paragraph" w:customStyle="1" w:styleId="17">
    <w:name w:val="Default"/>
    <w:autoRedefine/>
    <w:qFormat/>
    <w:uiPriority w:val="99"/>
    <w:pPr>
      <w:widowControl w:val="0"/>
      <w:autoSpaceDE w:val="0"/>
      <w:autoSpaceDN w:val="0"/>
      <w:adjustRightInd w:val="0"/>
    </w:pPr>
    <w:rPr>
      <w:rFonts w:ascii="......." w:hAnsi="......." w:eastAsia="......." w:cs="......."/>
      <w:color w:val="000000"/>
      <w:sz w:val="24"/>
      <w:szCs w:val="24"/>
      <w:lang w:val="en-US" w:eastAsia="zh-CN" w:bidi="ar-SA"/>
    </w:rPr>
  </w:style>
  <w:style w:type="character" w:customStyle="1" w:styleId="18">
    <w:name w:val="页眉 Char"/>
    <w:basedOn w:val="14"/>
    <w:link w:val="11"/>
    <w:autoRedefine/>
    <w:qFormat/>
    <w:uiPriority w:val="99"/>
    <w:rPr>
      <w:sz w:val="18"/>
      <w:szCs w:val="18"/>
    </w:rPr>
  </w:style>
  <w:style w:type="character" w:customStyle="1" w:styleId="19">
    <w:name w:val="页脚 Char"/>
    <w:basedOn w:val="14"/>
    <w:link w:val="10"/>
    <w:qFormat/>
    <w:uiPriority w:val="99"/>
    <w:rPr>
      <w:sz w:val="18"/>
      <w:szCs w:val="18"/>
    </w:rPr>
  </w:style>
  <w:style w:type="character" w:customStyle="1" w:styleId="20">
    <w:name w:val="日期 Char"/>
    <w:basedOn w:val="14"/>
    <w:link w:val="8"/>
    <w:autoRedefine/>
    <w:semiHidden/>
    <w:qFormat/>
    <w:uiPriority w:val="99"/>
  </w:style>
  <w:style w:type="character" w:customStyle="1" w:styleId="21">
    <w:name w:val="正文文本 Char"/>
    <w:basedOn w:val="14"/>
    <w:link w:val="7"/>
    <w:autoRedefine/>
    <w:qFormat/>
    <w:uiPriority w:val="0"/>
    <w:rPr>
      <w:rFonts w:ascii="Calibri" w:hAnsi="Calibri" w:eastAsia="宋体" w:cs="Times New Roman"/>
      <w:szCs w:val="24"/>
    </w:rPr>
  </w:style>
  <w:style w:type="character" w:customStyle="1" w:styleId="22">
    <w:name w:val="批注框文本 Char"/>
    <w:basedOn w:val="14"/>
    <w:link w:val="9"/>
    <w:semiHidden/>
    <w:qFormat/>
    <w:uiPriority w:val="99"/>
    <w:rPr>
      <w:sz w:val="18"/>
      <w:szCs w:val="18"/>
    </w:rPr>
  </w:style>
  <w:style w:type="paragraph" w:styleId="23">
    <w:name w:val="List Paragraph"/>
    <w:basedOn w:val="1"/>
    <w:autoRedefine/>
    <w:qFormat/>
    <w:uiPriority w:val="34"/>
    <w:pPr>
      <w:ind w:firstLine="420" w:firstLineChars="200"/>
    </w:pPr>
  </w:style>
  <w:style w:type="paragraph" w:customStyle="1" w:styleId="24">
    <w:name w:val="样式1"/>
    <w:basedOn w:val="1"/>
    <w:autoRedefine/>
    <w:qFormat/>
    <w:uiPriority w:val="0"/>
    <w:pPr>
      <w:spacing w:before="120" w:after="120" w:line="300" w:lineRule="auto"/>
    </w:pPr>
    <w:rPr>
      <w:rFonts w:ascii="宋体" w:hAnsi="宋体"/>
      <w:b/>
      <w:sz w:val="24"/>
      <w:szCs w:val="20"/>
    </w:rPr>
  </w:style>
  <w:style w:type="table" w:customStyle="1" w:styleId="25">
    <w:name w:val="Table Normal"/>
    <w:basedOn w:val="13"/>
    <w:autoRedefine/>
    <w:qFormat/>
    <w:uiPriority w:val="0"/>
    <w:rPr>
      <w:rFonts w:eastAsia="Times New Roman"/>
    </w:rPr>
    <w:tblPr>
      <w:tblCellMar>
        <w:top w:w="0" w:type="dxa"/>
        <w:left w:w="0" w:type="dxa"/>
        <w:bottom w:w="0" w:type="dxa"/>
        <w:right w:w="0" w:type="dxa"/>
      </w:tblCellMar>
    </w:tblPr>
  </w:style>
  <w:style w:type="paragraph" w:customStyle="1" w:styleId="26">
    <w:name w:val="列出段落1"/>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20</Pages>
  <Words>1556</Words>
  <Characters>8871</Characters>
  <Lines>73</Lines>
  <Paragraphs>20</Paragraphs>
  <TotalTime>1</TotalTime>
  <ScaleCrop>false</ScaleCrop>
  <LinksUpToDate>false</LinksUpToDate>
  <CharactersWithSpaces>10407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2020-05-29T01:48:00Z</dcterms:created>
  <dc:creator>乔力强</dc:creator>
  <cp:lastModifiedBy>刘涛</cp:lastModifiedBy>
  <cp:lastPrinted>2020-06-17T06:47:00Z</cp:lastPrinted>
  <dcterms:modified xsi:type="dcterms:W3CDTF">2024-04-22T01:33:28Z</dcterms:modified>
  <cp:revision>148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932F3C3C05FC4E2D9786F78924B55B0B_13</vt:lpwstr>
  </property>
</Properties>
</file>