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0B4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引滦原水分公司2026年度防雷检测服务</w:t>
      </w:r>
    </w:p>
    <w:p w14:paraId="5799E4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询价文件</w:t>
      </w:r>
    </w:p>
    <w:p w14:paraId="09896E29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17"/>
          <w:rFonts w:hint="eastAsia" w:ascii="黑体" w:hAnsi="黑体" w:eastAsia="黑体" w:cs="黑体"/>
          <w:b w:val="0"/>
          <w:bCs w:val="0"/>
          <w:sz w:val="32"/>
          <w:szCs w:val="32"/>
        </w:rPr>
        <w:t>一、服务内容</w:t>
      </w:r>
    </w:p>
    <w:p w14:paraId="61C4DC33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引滦</w:t>
      </w:r>
      <w:r>
        <w:rPr>
          <w:rFonts w:hint="eastAsia" w:ascii="仿宋_GB2312" w:eastAsia="仿宋_GB2312"/>
          <w:sz w:val="32"/>
          <w:szCs w:val="32"/>
          <w:lang w:eastAsia="zh-CN"/>
        </w:rPr>
        <w:t>原水</w:t>
      </w:r>
      <w:r>
        <w:rPr>
          <w:rFonts w:hint="eastAsia" w:ascii="仿宋_GB2312" w:eastAsia="仿宋_GB2312"/>
          <w:sz w:val="32"/>
          <w:szCs w:val="32"/>
        </w:rPr>
        <w:t>分公司202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年度防雷检测，检测范围为分公司管理范围内建筑物，包括办公楼、变电站、主辅机房、水塔、投药站、投炭站、</w:t>
      </w:r>
      <w:r>
        <w:rPr>
          <w:rFonts w:hint="eastAsia" w:ascii="仿宋_GB2312" w:hAnsi="仿宋_GB2312" w:eastAsia="仿宋_GB2312"/>
          <w:sz w:val="32"/>
          <w:szCs w:val="32"/>
        </w:rPr>
        <w:t>水闸</w:t>
      </w:r>
      <w:r>
        <w:rPr>
          <w:rFonts w:hint="eastAsia" w:ascii="仿宋_GB2312" w:eastAsia="仿宋_GB2312"/>
          <w:sz w:val="32"/>
          <w:szCs w:val="32"/>
        </w:rPr>
        <w:t>等建筑物，涉及点位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698</w:t>
      </w:r>
      <w:r>
        <w:rPr>
          <w:rFonts w:hint="eastAsia" w:ascii="仿宋_GB2312" w:eastAsia="仿宋_GB2312"/>
          <w:sz w:val="32"/>
          <w:szCs w:val="32"/>
        </w:rPr>
        <w:t>个（招标人保留根据实际需要按所报价格调整采购数量的权利），检测次数为一次</w:t>
      </w:r>
      <w:r>
        <w:rPr>
          <w:rFonts w:hint="eastAsia" w:ascii="仿宋_GB2312" w:eastAsia="仿宋_GB2312"/>
          <w:sz w:val="32"/>
          <w:szCs w:val="32"/>
          <w:lang w:eastAsia="zh-CN"/>
        </w:rPr>
        <w:t>，其中大张庄泵站管理所锅炉房检测次数为每年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2次，点位1个。</w:t>
      </w:r>
    </w:p>
    <w:p w14:paraId="1A57AB7A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17"/>
          <w:rFonts w:hint="eastAsia" w:ascii="黑体" w:hAnsi="黑体" w:eastAsia="黑体" w:cs="黑体"/>
          <w:b w:val="0"/>
          <w:bCs w:val="0"/>
          <w:sz w:val="32"/>
          <w:szCs w:val="32"/>
        </w:rPr>
        <w:t>二、投标人资格要求</w:t>
      </w:r>
    </w:p>
    <w:p w14:paraId="262E40F3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1.在中华人民共和国境内注册，具有</w:t>
      </w:r>
      <w:r>
        <w:rPr>
          <w:rFonts w:hint="eastAsia" w:ascii="仿宋_GB2312" w:eastAsia="仿宋_GB2312"/>
          <w:b/>
          <w:sz w:val="32"/>
          <w:szCs w:val="32"/>
        </w:rPr>
        <w:t>独立法人资格</w:t>
      </w:r>
      <w:r>
        <w:rPr>
          <w:rFonts w:hint="eastAsia" w:ascii="仿宋_GB2312" w:eastAsia="仿宋_GB2312"/>
          <w:sz w:val="32"/>
          <w:szCs w:val="32"/>
        </w:rPr>
        <w:t>，具有独立承担民事责任的能力，具有良好的商业信誉和资金状况。</w:t>
      </w:r>
    </w:p>
    <w:p w14:paraId="4A916F0E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2.营业执照经营范围需包含</w:t>
      </w:r>
      <w:r>
        <w:rPr>
          <w:rFonts w:hint="eastAsia" w:ascii="仿宋_GB2312" w:hAnsi="仿宋_GB2312" w:eastAsia="仿宋_GB2312"/>
          <w:sz w:val="32"/>
          <w:szCs w:val="32"/>
        </w:rPr>
        <w:t>本次招标</w:t>
      </w:r>
      <w:r>
        <w:rPr>
          <w:rFonts w:hint="eastAsia" w:ascii="仿宋_GB2312" w:eastAsia="仿宋_GB2312"/>
          <w:sz w:val="32"/>
          <w:szCs w:val="32"/>
        </w:rPr>
        <w:t>服务内容，</w:t>
      </w:r>
      <w:r>
        <w:rPr>
          <w:rFonts w:hint="eastAsia" w:ascii="仿宋_GB2312" w:hAnsi="仿宋_GB2312" w:eastAsia="仿宋_GB2312"/>
          <w:sz w:val="32"/>
          <w:szCs w:val="32"/>
        </w:rPr>
        <w:t>且在有效期内。</w:t>
      </w:r>
    </w:p>
    <w:p w14:paraId="33707952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.具有专业机构颁发的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甲级</w:t>
      </w:r>
      <w:r>
        <w:rPr>
          <w:rFonts w:hint="eastAsia" w:ascii="仿宋_GB2312" w:hAnsi="仿宋_GB2312" w:eastAsia="仿宋_GB2312"/>
          <w:sz w:val="32"/>
          <w:szCs w:val="32"/>
        </w:rPr>
        <w:t>资质等级的雷电防护装置检测资质。</w:t>
      </w:r>
    </w:p>
    <w:p w14:paraId="0FBCB69C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.具有独立订立合同的权利以及履行合同的能力。</w:t>
      </w:r>
    </w:p>
    <w:p w14:paraId="36758907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.具有依法缴纳税收和社会保障资金的良好记录，在递交报价文件截止时间内的近三年内没有违法、违规等不良记录。</w:t>
      </w:r>
    </w:p>
    <w:p w14:paraId="4823D4CC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. 应为“津水云采”平台注册的合格供应商，并且CA证书状态为已激活。</w:t>
      </w:r>
    </w:p>
    <w:p w14:paraId="2348C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三、报价要求</w:t>
      </w:r>
    </w:p>
    <w:p w14:paraId="6660B8E1">
      <w:pPr>
        <w:pStyle w:val="13"/>
        <w:keepNext w:val="0"/>
        <w:keepLines w:val="0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所报价格为含税价格（需开具增值税专用发票）。</w:t>
      </w:r>
    </w:p>
    <w:p w14:paraId="6E28E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2. </w:t>
      </w:r>
      <w:r>
        <w:rPr>
          <w:rFonts w:hint="eastAsia" w:ascii="仿宋_GB2312" w:eastAsia="仿宋_GB2312"/>
          <w:sz w:val="32"/>
          <w:szCs w:val="32"/>
        </w:rPr>
        <w:t>所报价格包括但不限于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包含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人工费、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材料费、生产费、备品备件费、技术资料费、运输费、安装、就位、高空作业、调试、试运行、系统调试、各类保险费、装卸费、检测费、验收费、管理费、税金、利润等最终交货、安装之前的所有费用以及所有售后服务费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等一切相关费用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，招标人将不为此支付其他额外费用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15F1BF2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7"/>
          <w:rFonts w:ascii="黑体" w:hAnsi="黑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</w:t>
      </w:r>
      <w:r>
        <w:rPr>
          <w:rStyle w:val="17"/>
          <w:rFonts w:hint="eastAsia" w:ascii="黑体" w:hAnsi="黑体" w:eastAsia="黑体"/>
          <w:b w:val="0"/>
          <w:sz w:val="32"/>
          <w:szCs w:val="32"/>
        </w:rPr>
        <w:t>投标报价上限</w:t>
      </w:r>
    </w:p>
    <w:p w14:paraId="52432EED"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报价上限为 </w:t>
      </w:r>
      <w:r>
        <w:rPr>
          <w:rFonts w:ascii="Calibri" w:hAnsi="Calibri" w:eastAsia="仿宋_GB2312"/>
          <w:sz w:val="32"/>
          <w:szCs w:val="32"/>
        </w:rPr>
        <w:t>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元，超过视为无效报价。</w:t>
      </w:r>
    </w:p>
    <w:p w14:paraId="2D343B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7"/>
          <w:rFonts w:ascii="黑体" w:hAnsi="黑体" w:eastAsia="黑体"/>
          <w:b w:val="0"/>
          <w:sz w:val="32"/>
          <w:szCs w:val="32"/>
        </w:rPr>
      </w:pPr>
      <w:r>
        <w:rPr>
          <w:rStyle w:val="17"/>
          <w:rFonts w:hint="eastAsia" w:ascii="黑体" w:hAnsi="黑体" w:eastAsia="黑体"/>
          <w:b w:val="0"/>
          <w:sz w:val="32"/>
          <w:szCs w:val="32"/>
        </w:rPr>
        <w:t>五、评审方式</w:t>
      </w:r>
    </w:p>
    <w:p w14:paraId="26A12B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</w:pPr>
      <w:r>
        <w:rPr>
          <w:rStyle w:val="17"/>
          <w:rFonts w:hint="eastAsia" w:ascii="仿宋_GB2312" w:eastAsia="仿宋_GB2312"/>
          <w:b w:val="0"/>
          <w:sz w:val="32"/>
          <w:szCs w:val="32"/>
        </w:rPr>
        <w:t>采用</w:t>
      </w:r>
      <w:r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  <w:t>综合评分</w:t>
      </w:r>
      <w:r>
        <w:rPr>
          <w:rStyle w:val="17"/>
          <w:rFonts w:hint="eastAsia" w:ascii="仿宋_GB2312" w:eastAsia="仿宋_GB2312"/>
          <w:b w:val="0"/>
          <w:sz w:val="32"/>
          <w:szCs w:val="32"/>
        </w:rPr>
        <w:t>法进行评审。</w:t>
      </w:r>
      <w:r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  <w:t>（评分表见附件）</w:t>
      </w:r>
    </w:p>
    <w:p w14:paraId="2174B5E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" w:leftChars="0" w:firstLine="56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付款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要求及服务期限</w:t>
      </w:r>
      <w:bookmarkStart w:id="0" w:name="OLE_LINK2"/>
    </w:p>
    <w:p w14:paraId="7AE5AC5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完成检测任务检测单位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出具报告后，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据实结算。（以合同签订为准）</w:t>
      </w:r>
    </w:p>
    <w:p w14:paraId="7729EF2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" w:leftChars="0" w:firstLine="56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服务地点</w:t>
      </w:r>
    </w:p>
    <w:p w14:paraId="66290258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主要场区点位：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天津市宝坻区尔王庄镇尔王庄村北、</w:t>
      </w:r>
      <w:r>
        <w:rPr>
          <w:rFonts w:hint="eastAsia" w:ascii="仿宋_GB2312" w:eastAsia="仿宋_GB2312"/>
          <w:sz w:val="32"/>
          <w:szCs w:val="32"/>
        </w:rPr>
        <w:t>天津市</w:t>
      </w:r>
      <w:r>
        <w:rPr>
          <w:rFonts w:ascii="仿宋_GB2312" w:eastAsia="仿宋_GB2312"/>
          <w:sz w:val="32"/>
          <w:szCs w:val="32"/>
        </w:rPr>
        <w:t>宝坻区钰华街</w:t>
      </w:r>
      <w:r>
        <w:rPr>
          <w:rFonts w:hint="eastAsia" w:ascii="仿宋_GB2312" w:eastAsia="仿宋_GB2312"/>
          <w:sz w:val="32"/>
          <w:szCs w:val="32"/>
        </w:rPr>
        <w:t>潮白河</w:t>
      </w:r>
      <w:r>
        <w:rPr>
          <w:rFonts w:ascii="仿宋_GB2312" w:eastAsia="仿宋_GB2312"/>
          <w:sz w:val="32"/>
          <w:szCs w:val="32"/>
        </w:rPr>
        <w:t>左堤路北</w:t>
      </w:r>
      <w:r>
        <w:rPr>
          <w:rFonts w:hint="eastAsia" w:ascii="仿宋_GB2312" w:eastAsia="仿宋_GB2312"/>
          <w:sz w:val="32"/>
          <w:szCs w:val="32"/>
          <w:lang w:eastAsia="zh-CN"/>
        </w:rPr>
        <w:t>、天津市北辰区大张庄村东</w:t>
      </w:r>
    </w:p>
    <w:p w14:paraId="4026C6D4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2.各站点、水闸：分布在</w:t>
      </w:r>
      <w:r>
        <w:rPr>
          <w:rFonts w:hint="eastAsia" w:ascii="仿宋_GB2312" w:eastAsia="仿宋_GB2312"/>
          <w:sz w:val="32"/>
          <w:szCs w:val="32"/>
        </w:rPr>
        <w:t>天津市宝坻区霍各庄镇九王庄村</w:t>
      </w:r>
      <w:r>
        <w:rPr>
          <w:rFonts w:hint="eastAsia" w:ascii="仿宋_GB2312" w:eastAsia="仿宋_GB2312"/>
          <w:sz w:val="32"/>
          <w:szCs w:val="32"/>
          <w:lang w:eastAsia="zh-CN"/>
        </w:rPr>
        <w:t>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/>
          <w:sz w:val="32"/>
          <w:szCs w:val="32"/>
          <w:lang w:eastAsia="zh-CN"/>
        </w:rPr>
        <w:t>天津市北辰区大张庄村东共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60余公里明渠沿线，共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座泵站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eastAsia="zh-CN"/>
        </w:rPr>
        <w:t>（均有办公楼宿舍楼），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41座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eastAsia="zh-CN"/>
        </w:rPr>
        <w:t>水闸。</w:t>
      </w:r>
    </w:p>
    <w:p w14:paraId="572F1809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17"/>
          <w:rFonts w:hint="eastAsia" w:ascii="黑体" w:hAnsi="黑体" w:eastAsia="黑体"/>
          <w:b w:val="0"/>
          <w:sz w:val="32"/>
          <w:szCs w:val="32"/>
          <w:lang w:eastAsia="zh-CN"/>
        </w:rPr>
      </w:pPr>
      <w:r>
        <w:rPr>
          <w:rStyle w:val="17"/>
          <w:rFonts w:hint="eastAsia" w:ascii="黑体" w:hAnsi="黑体" w:eastAsia="黑体"/>
          <w:b w:val="0"/>
          <w:sz w:val="32"/>
          <w:szCs w:val="32"/>
          <w:lang w:eastAsia="zh-CN"/>
        </w:rPr>
        <w:t>八</w:t>
      </w:r>
      <w:r>
        <w:rPr>
          <w:rStyle w:val="17"/>
          <w:rFonts w:hint="eastAsia" w:ascii="黑体" w:hAnsi="黑体" w:eastAsia="黑体"/>
          <w:b w:val="0"/>
          <w:sz w:val="32"/>
          <w:szCs w:val="32"/>
        </w:rPr>
        <w:t>、投标文件需提供的材料</w:t>
      </w:r>
      <w:r>
        <w:rPr>
          <w:rStyle w:val="17"/>
          <w:rFonts w:hint="eastAsia" w:ascii="黑体" w:hAnsi="黑体" w:eastAsia="黑体"/>
          <w:b w:val="0"/>
          <w:sz w:val="32"/>
          <w:szCs w:val="32"/>
          <w:lang w:val="en-US" w:eastAsia="zh-CN"/>
        </w:rPr>
        <w:t>及期限</w:t>
      </w:r>
    </w:p>
    <w:p w14:paraId="06319880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</w:t>
      </w:r>
      <w:r>
        <w:rPr>
          <w:rFonts w:ascii="仿宋_GB2312" w:eastAsia="仿宋_GB2312" w:cs="Times New Roman"/>
          <w:sz w:val="32"/>
          <w:szCs w:val="32"/>
        </w:rPr>
        <w:t>营业执照复印件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 w14:paraId="42FA2164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2.甲级资质等级的雷电防护装置检测资质证复印件。</w:t>
      </w:r>
    </w:p>
    <w:p w14:paraId="37B4260A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/>
          <w:sz w:val="32"/>
          <w:szCs w:val="32"/>
        </w:rPr>
        <w:t>法定代表人证明书</w:t>
      </w:r>
      <w:r>
        <w:rPr>
          <w:rFonts w:ascii="仿宋_GB2312" w:hAnsi="仿宋_GB2312" w:eastAsia="仿宋_GB2312"/>
          <w:sz w:val="32"/>
          <w:szCs w:val="32"/>
        </w:rPr>
        <w:t>或</w:t>
      </w:r>
      <w:r>
        <w:rPr>
          <w:rFonts w:hint="eastAsia" w:ascii="仿宋_GB2312" w:hAnsi="仿宋_GB2312" w:eastAsia="仿宋_GB2312"/>
          <w:sz w:val="32"/>
          <w:szCs w:val="32"/>
        </w:rPr>
        <w:t>法定</w:t>
      </w:r>
      <w:r>
        <w:rPr>
          <w:rFonts w:ascii="仿宋_GB2312" w:hAnsi="仿宋_GB2312" w:eastAsia="仿宋_GB2312"/>
          <w:sz w:val="32"/>
          <w:szCs w:val="32"/>
        </w:rPr>
        <w:t>代表人身份证复印件（</w:t>
      </w:r>
      <w:r>
        <w:rPr>
          <w:rFonts w:hint="eastAsia" w:ascii="仿宋_GB2312" w:hAnsi="仿宋_GB2312" w:eastAsia="仿宋_GB2312"/>
          <w:sz w:val="32"/>
          <w:szCs w:val="32"/>
        </w:rPr>
        <w:t>正反面</w:t>
      </w:r>
      <w:r>
        <w:rPr>
          <w:rFonts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 w14:paraId="152428AC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/>
          <w:sz w:val="32"/>
          <w:szCs w:val="32"/>
        </w:rPr>
        <w:t>法定代表人授权书（如有）。</w:t>
      </w:r>
    </w:p>
    <w:p w14:paraId="1FB47F18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5.非</w:t>
      </w:r>
      <w:r>
        <w:rPr>
          <w:rFonts w:ascii="仿宋_GB2312" w:hAnsi="仿宋_GB2312" w:eastAsia="仿宋_GB2312"/>
          <w:sz w:val="32"/>
          <w:szCs w:val="32"/>
        </w:rPr>
        <w:t>联合体投标承诺书。</w:t>
      </w:r>
    </w:p>
    <w:p w14:paraId="27391C90">
      <w:pPr>
        <w:pStyle w:val="13"/>
        <w:pageBreakBefore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6.202</w:t>
      </w:r>
      <w:r>
        <w:rPr>
          <w:rFonts w:ascii="仿宋_GB2312" w:hAnsi="仿宋_GB2312"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</w:rPr>
        <w:t>至今</w:t>
      </w:r>
      <w:r>
        <w:rPr>
          <w:rFonts w:hint="eastAsia" w:ascii="仿宋_GB2312" w:hAnsi="仿宋_GB2312" w:eastAsia="仿宋_GB2312"/>
          <w:sz w:val="32"/>
          <w:szCs w:val="32"/>
        </w:rPr>
        <w:t>任意</w:t>
      </w:r>
      <w:r>
        <w:rPr>
          <w:rFonts w:ascii="仿宋_GB2312" w:hAnsi="仿宋_GB2312" w:eastAsia="仿宋_GB2312"/>
          <w:sz w:val="32"/>
          <w:szCs w:val="32"/>
        </w:rPr>
        <w:t>连续</w:t>
      </w:r>
      <w:r>
        <w:rPr>
          <w:rFonts w:hint="eastAsia" w:ascii="仿宋_GB2312" w:hAnsi="仿宋_GB2312" w:eastAsia="仿宋_GB2312"/>
          <w:sz w:val="32"/>
          <w:szCs w:val="32"/>
        </w:rPr>
        <w:t>3个月</w:t>
      </w:r>
      <w:r>
        <w:rPr>
          <w:rFonts w:ascii="仿宋_GB2312" w:hAnsi="仿宋_GB2312" w:eastAsia="仿宋_GB2312"/>
          <w:sz w:val="32"/>
          <w:szCs w:val="32"/>
        </w:rPr>
        <w:t>的依法</w:t>
      </w:r>
      <w:r>
        <w:rPr>
          <w:rFonts w:hint="eastAsia" w:ascii="仿宋_GB2312" w:hAnsi="仿宋_GB2312" w:eastAsia="仿宋_GB2312"/>
          <w:sz w:val="32"/>
          <w:szCs w:val="32"/>
        </w:rPr>
        <w:t>缴纳税收</w:t>
      </w:r>
      <w:r>
        <w:rPr>
          <w:rFonts w:ascii="仿宋_GB2312" w:hAnsi="仿宋_GB2312" w:eastAsia="仿宋_GB2312"/>
          <w:sz w:val="32"/>
          <w:szCs w:val="32"/>
        </w:rPr>
        <w:t>和社会</w:t>
      </w:r>
      <w:r>
        <w:rPr>
          <w:rFonts w:hint="eastAsia" w:ascii="仿宋_GB2312" w:hAnsi="仿宋_GB2312" w:eastAsia="仿宋_GB2312"/>
          <w:sz w:val="32"/>
          <w:szCs w:val="32"/>
        </w:rPr>
        <w:t>保障</w:t>
      </w:r>
      <w:r>
        <w:rPr>
          <w:rFonts w:ascii="仿宋_GB2312" w:hAnsi="仿宋_GB2312" w:eastAsia="仿宋_GB2312"/>
          <w:sz w:val="32"/>
          <w:szCs w:val="32"/>
        </w:rPr>
        <w:t>金的相关材料。</w:t>
      </w:r>
    </w:p>
    <w:p w14:paraId="55097E21">
      <w:pPr>
        <w:pStyle w:val="13"/>
        <w:pageBreakBefore w:val="0"/>
        <w:numPr>
          <w:ilvl w:val="0"/>
          <w:numId w:val="0"/>
        </w:numP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在“信用中国”网站（</w:t>
      </w:r>
      <w:r>
        <w:rPr>
          <w:rFonts w:ascii="仿宋_GB2312" w:eastAsia="仿宋_GB2312"/>
          <w:sz w:val="32"/>
          <w:szCs w:val="32"/>
        </w:rPr>
        <w:t>www.creditchina.gov.cn）查询失信被执行人、税收违法黑名单，在“中国政府采购网 ”网站（http://www.ccgp.gov.cn/）查询政府采购严重违法失信行为记录名单，均未被列入“失信被执行人”名单并将查询结果截图</w:t>
      </w:r>
      <w:r>
        <w:rPr>
          <w:rFonts w:ascii="仿宋_GB2312" w:eastAsia="仿宋_GB2312" w:cs="Times New Roman"/>
          <w:sz w:val="32"/>
          <w:szCs w:val="32"/>
        </w:rPr>
        <w:t>。</w:t>
      </w:r>
    </w:p>
    <w:p w14:paraId="352C3D1C">
      <w:pPr>
        <w:pStyle w:val="13"/>
        <w:pageBreakBefore w:val="0"/>
        <w:numPr>
          <w:ilvl w:val="0"/>
          <w:numId w:val="0"/>
        </w:numP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检测方案（具体方案、检测计划、技术人员等）</w:t>
      </w:r>
    </w:p>
    <w:p w14:paraId="7DF8A60F">
      <w:pPr>
        <w:pStyle w:val="13"/>
        <w:pageBreakBefore w:val="0"/>
        <w:numPr>
          <w:ilvl w:val="0"/>
          <w:numId w:val="0"/>
        </w:numP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投标报价单：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701"/>
        <w:gridCol w:w="1131"/>
        <w:gridCol w:w="1562"/>
        <w:gridCol w:w="1559"/>
        <w:gridCol w:w="993"/>
      </w:tblGrid>
      <w:tr w14:paraId="1E7B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DE3D4">
            <w:pPr>
              <w:pStyle w:val="13"/>
              <w:pageBreakBefore w:val="0"/>
              <w:numPr>
                <w:ilvl w:val="0"/>
                <w:numId w:val="0"/>
              </w:numPr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序号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F5E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点位数</w:t>
            </w: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C07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单位</w:t>
            </w:r>
          </w:p>
        </w:tc>
        <w:tc>
          <w:tcPr>
            <w:tcW w:w="1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904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单价（元）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EE9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合价（元）</w:t>
            </w:r>
          </w:p>
        </w:tc>
        <w:tc>
          <w:tcPr>
            <w:tcW w:w="993" w:type="dxa"/>
            <w:vAlign w:val="center"/>
          </w:tcPr>
          <w:p w14:paraId="56F4F9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备注</w:t>
            </w:r>
          </w:p>
        </w:tc>
      </w:tr>
      <w:tr w14:paraId="1B55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BD7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1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79A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698</w:t>
            </w: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EC9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个</w:t>
            </w:r>
          </w:p>
        </w:tc>
        <w:tc>
          <w:tcPr>
            <w:tcW w:w="1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FEF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902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813A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</w:tbl>
    <w:p w14:paraId="7703A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请于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202</w:t>
      </w:r>
      <w:r>
        <w:rPr>
          <w:rFonts w:ascii="仿宋_GB2312" w:hAnsi="微软雅黑" w:eastAsia="仿宋_GB2312"/>
          <w:color w:val="0000FF"/>
          <w:sz w:val="32"/>
          <w:szCs w:val="32"/>
        </w:rPr>
        <w:t>6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0000FF"/>
          <w:sz w:val="32"/>
          <w:szCs w:val="32"/>
          <w:lang w:val="en-US" w:eastAsia="zh-CN"/>
        </w:rPr>
        <w:t>06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0000FF"/>
          <w:sz w:val="32"/>
          <w:szCs w:val="32"/>
          <w:lang w:val="en-US" w:eastAsia="zh-CN"/>
        </w:rPr>
        <w:t>01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0000FF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时</w:t>
      </w:r>
      <w:r>
        <w:rPr>
          <w:rFonts w:hint="eastAsia" w:ascii="仿宋_GB2312" w:hAnsi="微软雅黑" w:eastAsia="仿宋_GB2312"/>
          <w:sz w:val="32"/>
          <w:szCs w:val="32"/>
        </w:rPr>
        <w:t>前将符合</w:t>
      </w:r>
      <w:r>
        <w:fldChar w:fldCharType="begin"/>
      </w:r>
      <w:r>
        <w:instrText xml:space="preserve"> HYPERLINK "mailto:00前将符合上述材料加盖公章的PDF电子版上传至ewzhys@163.com" </w:instrText>
      </w:r>
      <w:r>
        <w:fldChar w:fldCharType="separate"/>
      </w:r>
      <w:r>
        <w:rPr>
          <w:rFonts w:hint="eastAsia" w:ascii="仿宋_GB2312" w:hAnsi="微软雅黑" w:eastAsia="仿宋_GB2312"/>
          <w:sz w:val="32"/>
          <w:szCs w:val="32"/>
        </w:rPr>
        <w:t>上述材料</w:t>
      </w:r>
      <w:r>
        <w:rPr>
          <w:rFonts w:hint="eastAsia" w:ascii="仿宋_GB2312" w:hAnsi="微软雅黑" w:eastAsia="仿宋_GB2312"/>
          <w:b/>
          <w:sz w:val="32"/>
          <w:szCs w:val="32"/>
        </w:rPr>
        <w:t>加盖公章</w:t>
      </w:r>
      <w:r>
        <w:rPr>
          <w:rFonts w:hint="eastAsia" w:ascii="仿宋_GB2312" w:hAnsi="微软雅黑" w:eastAsia="仿宋_GB2312"/>
          <w:sz w:val="32"/>
          <w:szCs w:val="32"/>
        </w:rPr>
        <w:t>的PDF电子版</w:t>
      </w:r>
      <w:r>
        <w:rPr>
          <w:rFonts w:hint="eastAsia" w:ascii="仿宋_GB2312" w:hAnsi="微软雅黑" w:eastAsia="仿宋_GB2312"/>
          <w:sz w:val="32"/>
          <w:szCs w:val="32"/>
        </w:rPr>
        <w:fldChar w:fldCharType="end"/>
      </w:r>
      <w:r>
        <w:rPr>
          <w:rFonts w:hint="eastAsia" w:ascii="仿宋_GB2312" w:hAnsi="微软雅黑" w:eastAsia="仿宋_GB2312"/>
          <w:sz w:val="32"/>
          <w:szCs w:val="32"/>
        </w:rPr>
        <w:t>上传至津水云采电子招标平台，同时于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202</w:t>
      </w:r>
      <w:r>
        <w:rPr>
          <w:rFonts w:ascii="仿宋_GB2312" w:hAnsi="微软雅黑" w:eastAsia="仿宋_GB2312"/>
          <w:color w:val="0000FF"/>
          <w:sz w:val="32"/>
          <w:szCs w:val="32"/>
        </w:rPr>
        <w:t>6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0000FF"/>
          <w:sz w:val="32"/>
          <w:szCs w:val="32"/>
          <w:lang w:val="en-US" w:eastAsia="zh-CN"/>
        </w:rPr>
        <w:t>06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0000FF"/>
          <w:sz w:val="32"/>
          <w:szCs w:val="32"/>
          <w:lang w:val="en-US" w:eastAsia="zh-CN"/>
        </w:rPr>
        <w:t>01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0000FF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color w:val="0000FF"/>
          <w:sz w:val="32"/>
          <w:szCs w:val="32"/>
        </w:rPr>
        <w:t>时</w:t>
      </w:r>
      <w:r>
        <w:rPr>
          <w:rFonts w:hint="eastAsia" w:ascii="仿宋_GB2312" w:hAnsi="微软雅黑" w:eastAsia="仿宋_GB2312"/>
          <w:sz w:val="32"/>
          <w:szCs w:val="32"/>
        </w:rPr>
        <w:t>前将投标文件（</w:t>
      </w:r>
      <w:r>
        <w:rPr>
          <w:rFonts w:ascii="仿宋_GB2312" w:hAnsi="微软雅黑" w:eastAsia="仿宋_GB2312"/>
          <w:sz w:val="32"/>
          <w:szCs w:val="32"/>
        </w:rPr>
        <w:t>一份</w:t>
      </w:r>
      <w:r>
        <w:rPr>
          <w:rFonts w:hint="eastAsia" w:ascii="仿宋_GB2312" w:hAnsi="微软雅黑" w:eastAsia="仿宋_GB2312"/>
          <w:sz w:val="32"/>
          <w:szCs w:val="32"/>
        </w:rPr>
        <w:t>正本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、两份副本，</w:t>
      </w:r>
      <w:r>
        <w:rPr>
          <w:rFonts w:hint="eastAsia" w:ascii="仿宋_GB2312" w:hAnsi="微软雅黑" w:eastAsia="仿宋_GB2312"/>
          <w:sz w:val="32"/>
          <w:szCs w:val="32"/>
        </w:rPr>
        <w:t>装订，密封处理，且在密封处加盖公章）送至（或邮寄至）天津水务集团有限公司引滦原水分公司（地址</w:t>
      </w:r>
      <w:r>
        <w:rPr>
          <w:rFonts w:ascii="仿宋_GB2312" w:hAnsi="微软雅黑" w:eastAsia="仿宋_GB2312"/>
          <w:sz w:val="32"/>
          <w:szCs w:val="32"/>
        </w:rPr>
        <w:t>：天津市宝坻区</w:t>
      </w:r>
      <w:r>
        <w:rPr>
          <w:rFonts w:hint="eastAsia" w:ascii="仿宋_GB2312" w:hAnsi="微软雅黑" w:eastAsia="仿宋_GB2312"/>
          <w:sz w:val="32"/>
          <w:szCs w:val="32"/>
        </w:rPr>
        <w:t>尔王庄镇</w:t>
      </w:r>
      <w:r>
        <w:rPr>
          <w:rFonts w:ascii="仿宋_GB2312" w:hAnsi="微软雅黑" w:eastAsia="仿宋_GB2312"/>
          <w:sz w:val="32"/>
          <w:szCs w:val="32"/>
        </w:rPr>
        <w:t>尔王庄水库旁</w:t>
      </w:r>
      <w:r>
        <w:rPr>
          <w:rFonts w:hint="eastAsia" w:ascii="仿宋_GB2312" w:hAnsi="微软雅黑" w:eastAsia="仿宋_GB2312"/>
          <w:sz w:val="32"/>
          <w:szCs w:val="32"/>
        </w:rPr>
        <w:t>），</w:t>
      </w:r>
      <w:r>
        <w:rPr>
          <w:rFonts w:hint="eastAsia" w:ascii="仿宋_GB2312" w:hAnsi="黑体" w:eastAsia="仿宋_GB2312" w:cs="宋体"/>
          <w:sz w:val="32"/>
          <w:szCs w:val="32"/>
        </w:rPr>
        <w:t>逾期未送达视为弃权，纸质文件</w:t>
      </w:r>
      <w:r>
        <w:rPr>
          <w:rFonts w:ascii="仿宋_GB2312" w:hAnsi="黑体" w:eastAsia="仿宋_GB2312" w:cs="宋体"/>
          <w:sz w:val="32"/>
          <w:szCs w:val="32"/>
        </w:rPr>
        <w:t>与电子</w:t>
      </w:r>
      <w:r>
        <w:rPr>
          <w:rFonts w:hint="eastAsia" w:ascii="仿宋_GB2312" w:hAnsi="黑体" w:eastAsia="仿宋_GB2312" w:cs="宋体"/>
          <w:sz w:val="32"/>
          <w:szCs w:val="32"/>
        </w:rPr>
        <w:t>版</w:t>
      </w:r>
      <w:r>
        <w:rPr>
          <w:rFonts w:ascii="仿宋_GB2312" w:hAnsi="黑体" w:eastAsia="仿宋_GB2312" w:cs="宋体"/>
          <w:sz w:val="32"/>
          <w:szCs w:val="32"/>
        </w:rPr>
        <w:t>文件</w:t>
      </w:r>
      <w:r>
        <w:rPr>
          <w:rFonts w:hint="eastAsia" w:ascii="仿宋_GB2312" w:hAnsi="黑体" w:eastAsia="仿宋_GB2312" w:cs="宋体"/>
          <w:sz w:val="32"/>
          <w:szCs w:val="32"/>
        </w:rPr>
        <w:t>不一致的视为</w:t>
      </w:r>
      <w:r>
        <w:rPr>
          <w:rFonts w:ascii="仿宋_GB2312" w:hAnsi="黑体" w:eastAsia="仿宋_GB2312" w:cs="宋体"/>
          <w:sz w:val="32"/>
          <w:szCs w:val="32"/>
        </w:rPr>
        <w:t>无效投标</w:t>
      </w:r>
      <w:r>
        <w:rPr>
          <w:rFonts w:hint="eastAsia" w:ascii="仿宋_GB2312" w:hAnsi="微软雅黑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未按规定的格式编制内容的，或投标文件内容不全、错漏或关键字迹模糊、无法辨认的视为无效投标。</w:t>
      </w:r>
    </w:p>
    <w:p w14:paraId="0C85B8E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7"/>
          <w:rFonts w:ascii="黑体" w:hAnsi="黑体" w:eastAsia="黑体"/>
          <w:b w:val="0"/>
          <w:sz w:val="32"/>
          <w:szCs w:val="32"/>
        </w:rPr>
      </w:pPr>
      <w:r>
        <w:rPr>
          <w:rStyle w:val="17"/>
          <w:rFonts w:hint="eastAsia" w:ascii="黑体" w:hAnsi="黑体" w:eastAsia="黑体"/>
          <w:b w:val="0"/>
          <w:sz w:val="32"/>
          <w:szCs w:val="32"/>
          <w:lang w:eastAsia="zh-CN"/>
        </w:rPr>
        <w:t>九</w:t>
      </w:r>
      <w:r>
        <w:rPr>
          <w:rStyle w:val="17"/>
          <w:rFonts w:hint="eastAsia" w:ascii="黑体" w:hAnsi="黑体" w:eastAsia="黑体"/>
          <w:b w:val="0"/>
          <w:sz w:val="32"/>
          <w:szCs w:val="32"/>
        </w:rPr>
        <w:t>、注意事项及否决条件</w:t>
      </w:r>
    </w:p>
    <w:p w14:paraId="38350A6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ascii="仿宋_GB2312" w:eastAsia="仿宋_GB2312"/>
          <w:b w:val="0"/>
          <w:sz w:val="32"/>
          <w:szCs w:val="32"/>
        </w:rPr>
      </w:pPr>
      <w:r>
        <w:rPr>
          <w:rStyle w:val="17"/>
          <w:rFonts w:ascii="仿宋_GB2312" w:eastAsia="仿宋_GB2312"/>
          <w:b w:val="0"/>
          <w:sz w:val="32"/>
          <w:szCs w:val="32"/>
        </w:rPr>
        <w:t>1</w:t>
      </w:r>
      <w:r>
        <w:rPr>
          <w:rStyle w:val="17"/>
          <w:rFonts w:hint="eastAsia" w:ascii="仿宋_GB2312" w:eastAsia="仿宋_GB2312"/>
          <w:b w:val="0"/>
          <w:sz w:val="32"/>
          <w:szCs w:val="32"/>
        </w:rPr>
        <w:t>.</w:t>
      </w:r>
      <w:r>
        <w:rPr>
          <w:rStyle w:val="17"/>
          <w:rFonts w:ascii="仿宋_GB2312" w:eastAsia="仿宋_GB2312"/>
          <w:b w:val="0"/>
          <w:sz w:val="32"/>
          <w:szCs w:val="32"/>
        </w:rPr>
        <w:t>投标人应严格按本公告要求制作投标文件，并保证其真实性。</w:t>
      </w:r>
    </w:p>
    <w:p w14:paraId="556BAB2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ascii="仿宋_GB2312" w:eastAsia="仿宋_GB2312"/>
          <w:b w:val="0"/>
          <w:sz w:val="32"/>
          <w:szCs w:val="32"/>
        </w:rPr>
      </w:pPr>
      <w:r>
        <w:rPr>
          <w:rStyle w:val="17"/>
          <w:rFonts w:ascii="仿宋_GB2312" w:eastAsia="仿宋_GB2312"/>
          <w:b w:val="0"/>
          <w:sz w:val="32"/>
          <w:szCs w:val="32"/>
        </w:rPr>
        <w:t>2</w:t>
      </w:r>
      <w:r>
        <w:rPr>
          <w:rStyle w:val="17"/>
          <w:rFonts w:hint="eastAsia" w:ascii="仿宋_GB2312" w:eastAsia="仿宋_GB2312"/>
          <w:b w:val="0"/>
          <w:sz w:val="32"/>
          <w:szCs w:val="32"/>
        </w:rPr>
        <w:t>.</w:t>
      </w:r>
      <w:r>
        <w:rPr>
          <w:rStyle w:val="17"/>
          <w:rFonts w:ascii="仿宋_GB2312" w:eastAsia="仿宋_GB2312"/>
          <w:b w:val="0"/>
          <w:sz w:val="32"/>
          <w:szCs w:val="32"/>
        </w:rPr>
        <w:t>对于异常低价可能导致影响履约的报价，可要求报价人进行澄清，不能说明其报价合理或保证履约的，招标人有权否决该报价。</w:t>
      </w:r>
    </w:p>
    <w:p w14:paraId="18735F4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ascii="仿宋_GB2312" w:eastAsia="仿宋_GB2312"/>
          <w:b w:val="0"/>
          <w:sz w:val="32"/>
          <w:szCs w:val="32"/>
        </w:rPr>
      </w:pPr>
      <w:r>
        <w:rPr>
          <w:rStyle w:val="17"/>
          <w:rFonts w:ascii="仿宋_GB2312" w:eastAsia="仿宋_GB2312"/>
          <w:b w:val="0"/>
          <w:sz w:val="32"/>
          <w:szCs w:val="32"/>
        </w:rPr>
        <w:t>3</w:t>
      </w:r>
      <w:r>
        <w:rPr>
          <w:rStyle w:val="17"/>
          <w:rFonts w:hint="eastAsia" w:ascii="仿宋_GB2312" w:eastAsia="仿宋_GB2312"/>
          <w:b w:val="0"/>
          <w:sz w:val="32"/>
          <w:szCs w:val="32"/>
        </w:rPr>
        <w:t>.</w:t>
      </w:r>
      <w:r>
        <w:rPr>
          <w:rStyle w:val="17"/>
          <w:rFonts w:ascii="仿宋_GB2312" w:eastAsia="仿宋_GB2312"/>
          <w:b w:val="0"/>
          <w:sz w:val="32"/>
          <w:szCs w:val="32"/>
        </w:rPr>
        <w:t>为保证本项目公正性，各投标单位应独立编制报价文件，如出现相同IP地址上传的报价文件，文件将被否决。</w:t>
      </w:r>
    </w:p>
    <w:p w14:paraId="3F5B952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bCs w:val="0"/>
          <w:sz w:val="32"/>
          <w:szCs w:val="32"/>
          <w:lang w:val="en-US" w:eastAsia="zh-CN"/>
        </w:rPr>
        <w:t>4.招标人不统一组织现场踏勘，投标人可根据需要自愿进行踏勘，以便了解项目具体情况。踏勘时限为投标截止时间前。因踏勘所产生的一切费用由投标人自行承担。</w:t>
      </w:r>
    </w:p>
    <w:p w14:paraId="0114B83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7"/>
          <w:rFonts w:ascii="黑体" w:hAnsi="黑体" w:eastAsia="黑体"/>
          <w:b w:val="0"/>
          <w:sz w:val="32"/>
          <w:szCs w:val="32"/>
        </w:rPr>
      </w:pPr>
      <w:r>
        <w:rPr>
          <w:rStyle w:val="17"/>
          <w:rFonts w:hint="eastAsia" w:ascii="黑体" w:hAnsi="黑体" w:eastAsia="黑体"/>
          <w:b w:val="0"/>
          <w:sz w:val="32"/>
          <w:szCs w:val="32"/>
          <w:lang w:eastAsia="zh-CN"/>
        </w:rPr>
        <w:t>十</w:t>
      </w:r>
      <w:r>
        <w:rPr>
          <w:rStyle w:val="17"/>
          <w:rFonts w:hint="eastAsia" w:ascii="黑体" w:hAnsi="黑体" w:eastAsia="黑体"/>
          <w:b w:val="0"/>
          <w:sz w:val="32"/>
          <w:szCs w:val="32"/>
        </w:rPr>
        <w:t>、联系人及联系方式</w:t>
      </w:r>
    </w:p>
    <w:p w14:paraId="18A5BA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吴</w:t>
      </w: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女士</w:t>
      </w:r>
      <w:r>
        <w:rPr>
          <w:rFonts w:hint="eastAsia" w:ascii="仿宋_GB2312" w:hAnsi="微软雅黑" w:eastAsia="仿宋_GB2312" w:cs="宋体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>15522859599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（工作日）</w:t>
      </w:r>
    </w:p>
    <w:p w14:paraId="7A489A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徐先生  13920148305（工作日）</w:t>
      </w:r>
    </w:p>
    <w:p w14:paraId="7E11B936">
      <w:pPr>
        <w:widowControl/>
        <w:spacing w:line="560" w:lineRule="exact"/>
        <w:ind w:firstLine="640" w:firstLineChars="200"/>
        <w:jc w:val="left"/>
        <w:rPr>
          <w:rStyle w:val="17"/>
          <w:rFonts w:ascii="仿宋_GB2312" w:eastAsia="仿宋_GB2312"/>
          <w:b w:val="0"/>
          <w:sz w:val="32"/>
          <w:szCs w:val="32"/>
        </w:rPr>
      </w:pPr>
    </w:p>
    <w:p w14:paraId="100ED0E1">
      <w:pPr>
        <w:widowControl/>
        <w:spacing w:line="560" w:lineRule="exact"/>
        <w:ind w:firstLine="640" w:firstLineChars="200"/>
        <w:jc w:val="left"/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</w:pPr>
      <w:r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  <w:t>附件：评分表</w:t>
      </w:r>
    </w:p>
    <w:p w14:paraId="63C46ED2">
      <w:pPr>
        <w:widowControl/>
        <w:spacing w:line="560" w:lineRule="exact"/>
        <w:ind w:firstLine="640" w:firstLineChars="200"/>
        <w:jc w:val="left"/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</w:pPr>
    </w:p>
    <w:p w14:paraId="3A923AFC">
      <w:pPr>
        <w:widowControl/>
        <w:spacing w:line="560" w:lineRule="exact"/>
        <w:ind w:firstLine="640" w:firstLineChars="200"/>
        <w:jc w:val="left"/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</w:pPr>
    </w:p>
    <w:p w14:paraId="5696B57A">
      <w:pPr>
        <w:widowControl/>
        <w:spacing w:line="560" w:lineRule="exact"/>
        <w:ind w:firstLine="640" w:firstLineChars="200"/>
        <w:jc w:val="left"/>
        <w:rPr>
          <w:rStyle w:val="17"/>
          <w:rFonts w:hint="eastAsia" w:ascii="仿宋_GB2312" w:eastAsia="仿宋_GB2312"/>
          <w:b w:val="0"/>
          <w:sz w:val="32"/>
          <w:szCs w:val="32"/>
          <w:lang w:eastAsia="zh-CN"/>
        </w:rPr>
      </w:pPr>
    </w:p>
    <w:p w14:paraId="268676F7">
      <w:pPr>
        <w:spacing w:line="560" w:lineRule="exact"/>
        <w:jc w:val="righ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天津</w:t>
      </w:r>
      <w:r>
        <w:rPr>
          <w:rFonts w:ascii="仿宋_GB2312" w:hAnsi="宋体" w:eastAsia="仿宋_GB2312"/>
          <w:sz w:val="32"/>
          <w:szCs w:val="32"/>
        </w:rPr>
        <w:t>水务集团有限公司</w:t>
      </w:r>
      <w:r>
        <w:rPr>
          <w:rFonts w:hint="eastAsia" w:ascii="仿宋_GB2312" w:hAnsi="宋体" w:eastAsia="仿宋_GB2312"/>
          <w:sz w:val="32"/>
          <w:szCs w:val="32"/>
        </w:rPr>
        <w:t>引滦原水</w:t>
      </w:r>
      <w:r>
        <w:rPr>
          <w:rFonts w:ascii="仿宋_GB2312" w:hAnsi="宋体" w:eastAsia="仿宋_GB2312"/>
          <w:sz w:val="32"/>
          <w:szCs w:val="32"/>
        </w:rPr>
        <w:t>分公司</w:t>
      </w:r>
    </w:p>
    <w:p w14:paraId="524881D1">
      <w:pPr>
        <w:spacing w:line="560" w:lineRule="exact"/>
        <w:ind w:firstLine="4960" w:firstLineChars="1550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202</w:t>
      </w:r>
      <w:r>
        <w:rPr>
          <w:rFonts w:ascii="仿宋_GB2312" w:hAnsi="微软雅黑" w:eastAsia="仿宋_GB2312" w:cs="宋体"/>
          <w:sz w:val="32"/>
          <w:szCs w:val="32"/>
        </w:rPr>
        <w:t>6</w:t>
      </w:r>
      <w:r>
        <w:rPr>
          <w:rFonts w:hint="eastAsia" w:ascii="仿宋_GB2312" w:hAnsi="微软雅黑" w:eastAsia="仿宋_GB2312" w:cs="宋体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27</w:t>
      </w:r>
      <w:bookmarkStart w:id="1" w:name="_GoBack"/>
      <w:bookmarkEnd w:id="1"/>
      <w:r>
        <w:rPr>
          <w:rFonts w:hint="eastAsia" w:ascii="仿宋_GB2312" w:hAnsi="微软雅黑" w:eastAsia="仿宋_GB2312" w:cs="宋体"/>
          <w:sz w:val="32"/>
          <w:szCs w:val="32"/>
        </w:rPr>
        <w:t>日</w:t>
      </w:r>
    </w:p>
    <w:p w14:paraId="12A4F49C">
      <w:pPr>
        <w:pStyle w:val="21"/>
        <w:numPr>
          <w:ilvl w:val="0"/>
          <w:numId w:val="0"/>
        </w:numPr>
        <w:spacing w:line="540" w:lineRule="exact"/>
        <w:ind w:firstLine="720" w:firstLineChars="200"/>
        <w:rPr>
          <w:rFonts w:ascii="仿宋_GB2312" w:hAnsi="黑体"/>
          <w:color w:val="000000"/>
          <w:sz w:val="36"/>
          <w:szCs w:val="36"/>
        </w:rPr>
      </w:pPr>
    </w:p>
    <w:p w14:paraId="757A5052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7760605">
      <w:pPr>
        <w:widowControl/>
        <w:snapToGrid w:val="0"/>
        <w:spacing w:line="600" w:lineRule="exact"/>
        <w:contextualSpacing/>
        <w:rPr>
          <w:rFonts w:hint="eastAsia" w:ascii="华文仿宋" w:hAnsi="华文仿宋" w:eastAsia="华文仿宋" w:cs="华文仿宋"/>
          <w:sz w:val="32"/>
          <w:szCs w:val="32"/>
        </w:rPr>
      </w:pPr>
    </w:p>
    <w:p w14:paraId="540365F4">
      <w:pPr>
        <w:widowControl/>
        <w:snapToGrid w:val="0"/>
        <w:spacing w:line="600" w:lineRule="exact"/>
        <w:contextualSpacing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</w:t>
      </w:r>
    </w:p>
    <w:p w14:paraId="42EFA020">
      <w:pPr>
        <w:widowControl/>
        <w:snapToGrid w:val="0"/>
        <w:spacing w:line="600" w:lineRule="exact"/>
        <w:contextualSpacing/>
        <w:jc w:val="center"/>
        <w:rPr>
          <w:rFonts w:ascii="方正小标宋简体" w:hAnsi="华文仿宋" w:eastAsia="方正小标宋简体" w:cs="华文仿宋"/>
          <w:sz w:val="36"/>
          <w:szCs w:val="32"/>
        </w:rPr>
      </w:pPr>
      <w:r>
        <w:rPr>
          <w:rFonts w:hint="eastAsia" w:ascii="方正小标宋简体" w:hAnsi="华文仿宋" w:eastAsia="方正小标宋简体" w:cs="华文仿宋"/>
          <w:sz w:val="36"/>
          <w:szCs w:val="32"/>
        </w:rPr>
        <w:t>评分标准</w:t>
      </w:r>
    </w:p>
    <w:tbl>
      <w:tblPr>
        <w:tblStyle w:val="14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993"/>
        <w:gridCol w:w="4961"/>
      </w:tblGrid>
      <w:tr w14:paraId="16F3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2D1D4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C8A26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评审项目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0A339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赋分</w:t>
            </w:r>
          </w:p>
        </w:tc>
        <w:tc>
          <w:tcPr>
            <w:tcW w:w="4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68EA5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评审标准</w:t>
            </w:r>
          </w:p>
        </w:tc>
      </w:tr>
      <w:tr w14:paraId="39DC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433E">
            <w:pPr>
              <w:spacing w:line="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6029">
            <w:pPr>
              <w:spacing w:line="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FF67">
            <w:pPr>
              <w:spacing w:line="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EBA8">
            <w:pPr>
              <w:spacing w:line="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0216C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7791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E745">
            <w:pPr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商务评审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03A1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0EDC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14:paraId="7DCF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8D51A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8224D3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报价</w:t>
            </w:r>
            <w:r>
              <w:rPr>
                <w:rFonts w:hint="eastAsia" w:hAnsi="宋体"/>
                <w:szCs w:val="21"/>
              </w:rPr>
              <w:t>得分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CB831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FB9F">
            <w:pPr>
              <w:spacing w:line="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.有效报价：即通过资格审查和初步评审且报价在采购人控制价以下的报价人的</w:t>
            </w:r>
            <w:r>
              <w:rPr>
                <w:rFonts w:hAnsi="宋体"/>
                <w:szCs w:val="21"/>
              </w:rPr>
              <w:t>报价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为有效报价。</w:t>
            </w:r>
          </w:p>
          <w:p w14:paraId="64FF2D8B">
            <w:pPr>
              <w:spacing w:line="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2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.评标基准价：评标基准价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为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所有有效报价的算术平均值；评标基准价</w:t>
            </w:r>
            <w:r>
              <w:rPr>
                <w:rFonts w:hAnsi="宋体"/>
                <w:szCs w:val="21"/>
              </w:rPr>
              <w:t>保留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小数点后两位。</w:t>
            </w:r>
          </w:p>
          <w:p w14:paraId="2C832096">
            <w:pPr>
              <w:spacing w:line="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3.商务报价得分</w:t>
            </w:r>
          </w:p>
          <w:p w14:paraId="3D85F455">
            <w:pPr>
              <w:spacing w:line="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（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1）有效报价为评标基准价时，得40分。</w:t>
            </w:r>
          </w:p>
          <w:p w14:paraId="56FB328D">
            <w:pPr>
              <w:widowControl/>
              <w:spacing w:after="100" w:afterAutospacing="1" w:line="24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（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2）有效报价为评标基准价的基础上，每上浮1%，减1分；每下浮1%，减0.5分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，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最低得0分。</w:t>
            </w:r>
          </w:p>
        </w:tc>
      </w:tr>
      <w:tr w14:paraId="03D93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C6943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FB17">
            <w:pPr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技术评审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93B2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F4B3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14:paraId="73B06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F9A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BA95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检测方案与技术响应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DF7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A886">
            <w:pPr>
              <w:spacing w:line="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项目实施方案是否严谨清晰、逻辑结构是否合理、是否能够分析本项目难点并提出优秀解决方案等：</w:t>
            </w:r>
          </w:p>
          <w:p w14:paraId="133FF88B">
            <w:pPr>
              <w:spacing w:line="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（1）较好得1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-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20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分；</w:t>
            </w:r>
          </w:p>
          <w:p w14:paraId="182EBA80">
            <w:pPr>
              <w:spacing w:line="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（2）一般得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-1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分；</w:t>
            </w:r>
          </w:p>
          <w:p w14:paraId="53B57759">
            <w:pPr>
              <w:widowControl/>
              <w:spacing w:after="100" w:afterAutospacing="1" w:line="24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（3）较差得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0-7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分。</w:t>
            </w:r>
          </w:p>
        </w:tc>
      </w:tr>
      <w:tr w14:paraId="33114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CB3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E8C2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检测进度安排评价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2F26">
            <w:pPr>
              <w:spacing w:line="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8206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工作实施的时间安排是否全面、详细、可行等：</w:t>
            </w:r>
          </w:p>
          <w:p w14:paraId="68E6E303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（1）较好得</w:t>
            </w:r>
            <w:r>
              <w:rPr>
                <w:rFonts w:hint="eastAsia" w:hAnsi="宋体"/>
                <w:szCs w:val="21"/>
                <w:lang w:val="en-US" w:eastAsia="zh-CN"/>
              </w:rPr>
              <w:t>8</w:t>
            </w:r>
            <w:r>
              <w:rPr>
                <w:rFonts w:hint="eastAsia" w:hAnsi="宋体"/>
                <w:szCs w:val="21"/>
              </w:rPr>
              <w:t>-1</w:t>
            </w:r>
            <w:r>
              <w:rPr>
                <w:rFonts w:hint="eastAsia" w:hAnsi="宋体"/>
                <w:szCs w:val="21"/>
                <w:lang w:val="en-US" w:eastAsia="zh-CN"/>
              </w:rPr>
              <w:t>0</w:t>
            </w:r>
            <w:r>
              <w:rPr>
                <w:rFonts w:hint="eastAsia" w:hAnsi="宋体"/>
                <w:szCs w:val="21"/>
              </w:rPr>
              <w:t>分；</w:t>
            </w:r>
          </w:p>
          <w:p w14:paraId="7C9FEB31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（2）一般得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-</w:t>
            </w:r>
            <w:r>
              <w:rPr>
                <w:rFonts w:hint="eastAsia" w:hAnsi="宋体"/>
                <w:szCs w:val="21"/>
                <w:lang w:val="en-US" w:eastAsia="zh-CN"/>
              </w:rPr>
              <w:t>7</w:t>
            </w:r>
            <w:r>
              <w:rPr>
                <w:rFonts w:hint="eastAsia" w:hAnsi="宋体"/>
                <w:szCs w:val="21"/>
              </w:rPr>
              <w:t>分；</w:t>
            </w:r>
          </w:p>
          <w:p w14:paraId="1E0EA65F">
            <w:pPr>
              <w:widowControl/>
              <w:spacing w:after="100" w:afterAutospacing="1" w:line="240" w:lineRule="exact"/>
              <w:jc w:val="left"/>
              <w:rPr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（3</w:t>
            </w:r>
            <w:r>
              <w:rPr>
                <w:rFonts w:hint="eastAsia" w:hAnsi="宋体"/>
                <w:szCs w:val="21"/>
              </w:rPr>
              <w:t>）较差得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int="eastAsia" w:hAnsi="宋体"/>
                <w:szCs w:val="21"/>
              </w:rPr>
              <w:t>-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分。</w:t>
            </w:r>
          </w:p>
        </w:tc>
      </w:tr>
      <w:tr w14:paraId="6E85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005C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737F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质量保障与安全措施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A9C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EF11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质量管控体系完善，安全方案、应急预案、检测措施贴合运维要求，可操作性强：</w:t>
            </w:r>
          </w:p>
          <w:p w14:paraId="7BE057F5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（1）较好得8-10分；</w:t>
            </w:r>
          </w:p>
          <w:p w14:paraId="689B4AB6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（2）一般得5-7分；</w:t>
            </w:r>
          </w:p>
          <w:p w14:paraId="288E19EF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（3）较差得0-4分。</w:t>
            </w:r>
          </w:p>
        </w:tc>
      </w:tr>
      <w:tr w14:paraId="20CDC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54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EE5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人员资质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90AA">
            <w:pPr>
              <w:spacing w:line="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781C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服务团队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须具备与本项目相关专业的职称证或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  <w:lang w:eastAsia="zh-CN"/>
              </w:rPr>
              <w:t>防雷检测资格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证书，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并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具有多年安全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管理</w:t>
            </w: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工作经验，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</w:rPr>
              <w:t>团队成员持证上岗率 100%</w:t>
            </w:r>
            <w:r>
              <w:rPr>
                <w:rFonts w:hint="eastAsia" w:ascii="Arial" w:hAnsi="Arial" w:eastAsia="宋体" w:cs="Arial"/>
                <w:color w:val="333333"/>
                <w:kern w:val="0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配备的人员情况，包括人员数量、人员业绩、综合能力等：</w:t>
            </w:r>
          </w:p>
          <w:p w14:paraId="13F17F03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（1）较好得8-10分；</w:t>
            </w:r>
          </w:p>
          <w:p w14:paraId="05CAFFCC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（2）一般得5-7分；</w:t>
            </w:r>
          </w:p>
          <w:p w14:paraId="6E4315A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（3）较差得0-4分。</w:t>
            </w:r>
          </w:p>
        </w:tc>
      </w:tr>
      <w:tr w14:paraId="2DB38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F04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39B8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服务承诺与售后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A199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49636">
            <w:pPr>
              <w:spacing w:line="0" w:lineRule="atLeast"/>
              <w:jc w:val="left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</w:rPr>
              <w:t>承诺检测报告及时交付、终身技术咨询、维修支持、免费复检，</w:t>
            </w:r>
            <w:r>
              <w:rPr>
                <w:rFonts w:hint="eastAsia" w:hAnsi="宋体"/>
                <w:szCs w:val="21"/>
                <w:lang w:eastAsia="zh-CN"/>
              </w:rPr>
              <w:t>售后</w:t>
            </w:r>
            <w:r>
              <w:rPr>
                <w:rFonts w:hint="eastAsia" w:hAnsi="宋体"/>
                <w:szCs w:val="21"/>
              </w:rPr>
              <w:t>服务期限、响应时间</w:t>
            </w:r>
            <w:r>
              <w:rPr>
                <w:rFonts w:hint="eastAsia" w:hAnsi="宋体"/>
                <w:szCs w:val="21"/>
                <w:lang w:eastAsia="zh-CN"/>
              </w:rPr>
              <w:t>等：</w:t>
            </w:r>
          </w:p>
          <w:p w14:paraId="56FF3D26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（1）较好得8-10分；</w:t>
            </w:r>
          </w:p>
          <w:p w14:paraId="1B4B2B36">
            <w:pPr>
              <w:spacing w:line="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（2）一般得5-7分；</w:t>
            </w:r>
          </w:p>
          <w:p w14:paraId="0A0DACB6">
            <w:pPr>
              <w:spacing w:line="0" w:lineRule="atLeast"/>
              <w:jc w:val="left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</w:rPr>
              <w:t>（3）较差得0-4分。</w:t>
            </w:r>
          </w:p>
        </w:tc>
      </w:tr>
      <w:tr w14:paraId="14887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2"/>
            <w:vAlign w:val="center"/>
          </w:tcPr>
          <w:p w14:paraId="5B2BC61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合计</w:t>
            </w:r>
          </w:p>
        </w:tc>
        <w:tc>
          <w:tcPr>
            <w:tcW w:w="993" w:type="dxa"/>
            <w:vAlign w:val="center"/>
          </w:tcPr>
          <w:p w14:paraId="395C5BB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961" w:type="dxa"/>
          </w:tcPr>
          <w:p w14:paraId="27376E1F">
            <w:pPr>
              <w:spacing w:line="0" w:lineRule="atLeast"/>
              <w:jc w:val="left"/>
              <w:rPr>
                <w:szCs w:val="21"/>
              </w:rPr>
            </w:pPr>
          </w:p>
        </w:tc>
      </w:tr>
    </w:tbl>
    <w:p w14:paraId="182FB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contextualSpacing/>
        <w:textAlignment w:val="auto"/>
        <w:rPr>
          <w:rFonts w:hint="default" w:ascii="方正小标宋简体" w:hAnsi="华文仿宋" w:eastAsia="方正小标宋简体" w:cs="华文仿宋"/>
          <w:vanish/>
          <w:sz w:val="36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.......">
    <w:altName w:val="仿宋_GB2312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F0B20"/>
    <w:multiLevelType w:val="multilevel"/>
    <w:tmpl w:val="14EF0B20"/>
    <w:lvl w:ilvl="0" w:tentative="0">
      <w:start w:val="1"/>
      <w:numFmt w:val="none"/>
      <w:lvlText w:val="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lvlText w:val="%2、"/>
      <w:lvlJc w:val="left"/>
      <w:pPr>
        <w:ind w:left="4969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3.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2.%3.%4.%5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791E332D"/>
    <w:multiLevelType w:val="singleLevel"/>
    <w:tmpl w:val="791E332D"/>
    <w:lvl w:ilvl="0" w:tentative="0">
      <w:start w:val="6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ZGYzZDUwYWUwNzA5ZjI4MTAyYzhiZWU1MWM2ZGUifQ=="/>
  </w:docVars>
  <w:rsids>
    <w:rsidRoot w:val="31576996"/>
    <w:rsid w:val="01CA4CC5"/>
    <w:rsid w:val="03755093"/>
    <w:rsid w:val="04411313"/>
    <w:rsid w:val="062940ED"/>
    <w:rsid w:val="08944647"/>
    <w:rsid w:val="0B2A50C9"/>
    <w:rsid w:val="0B2C38D3"/>
    <w:rsid w:val="0B931604"/>
    <w:rsid w:val="0BB94CF0"/>
    <w:rsid w:val="0E7A1157"/>
    <w:rsid w:val="0EC17CC5"/>
    <w:rsid w:val="0F725EAE"/>
    <w:rsid w:val="0FC96CE6"/>
    <w:rsid w:val="10553F6A"/>
    <w:rsid w:val="10751590"/>
    <w:rsid w:val="11AB0D78"/>
    <w:rsid w:val="12516410"/>
    <w:rsid w:val="12F95824"/>
    <w:rsid w:val="194C4092"/>
    <w:rsid w:val="1950797E"/>
    <w:rsid w:val="198D7DB5"/>
    <w:rsid w:val="1A9E3FFB"/>
    <w:rsid w:val="1B796CF7"/>
    <w:rsid w:val="1BAB0E2A"/>
    <w:rsid w:val="1BDA5BC0"/>
    <w:rsid w:val="1C4262A3"/>
    <w:rsid w:val="1C9F44E9"/>
    <w:rsid w:val="1CAF2695"/>
    <w:rsid w:val="1F5A1750"/>
    <w:rsid w:val="215D45D5"/>
    <w:rsid w:val="21EE789D"/>
    <w:rsid w:val="22574C7C"/>
    <w:rsid w:val="23B2047A"/>
    <w:rsid w:val="28102FEF"/>
    <w:rsid w:val="28F14206"/>
    <w:rsid w:val="28FE0AC3"/>
    <w:rsid w:val="2A3D4DC1"/>
    <w:rsid w:val="2CB76786"/>
    <w:rsid w:val="2CFF066C"/>
    <w:rsid w:val="2E9F6913"/>
    <w:rsid w:val="30237134"/>
    <w:rsid w:val="30CF42AD"/>
    <w:rsid w:val="31576996"/>
    <w:rsid w:val="31EC4FA9"/>
    <w:rsid w:val="329D4BAF"/>
    <w:rsid w:val="32A62063"/>
    <w:rsid w:val="332F0771"/>
    <w:rsid w:val="369A57ED"/>
    <w:rsid w:val="36B75162"/>
    <w:rsid w:val="37D64E61"/>
    <w:rsid w:val="382320C9"/>
    <w:rsid w:val="3A134692"/>
    <w:rsid w:val="3D8877B2"/>
    <w:rsid w:val="3DA72C0F"/>
    <w:rsid w:val="3E7E3AE6"/>
    <w:rsid w:val="3F784759"/>
    <w:rsid w:val="3FAD6398"/>
    <w:rsid w:val="410D685F"/>
    <w:rsid w:val="416A3B15"/>
    <w:rsid w:val="42280F8A"/>
    <w:rsid w:val="445102F4"/>
    <w:rsid w:val="46D433F8"/>
    <w:rsid w:val="47EF335F"/>
    <w:rsid w:val="48005807"/>
    <w:rsid w:val="491C6F07"/>
    <w:rsid w:val="49381517"/>
    <w:rsid w:val="49563518"/>
    <w:rsid w:val="4A8149C3"/>
    <w:rsid w:val="4BC90455"/>
    <w:rsid w:val="4C1B4457"/>
    <w:rsid w:val="4D1C4849"/>
    <w:rsid w:val="4E770572"/>
    <w:rsid w:val="4EE20D3D"/>
    <w:rsid w:val="4F767DBC"/>
    <w:rsid w:val="51015776"/>
    <w:rsid w:val="527C70D7"/>
    <w:rsid w:val="53124B20"/>
    <w:rsid w:val="540B4FCF"/>
    <w:rsid w:val="55A27504"/>
    <w:rsid w:val="55E028CF"/>
    <w:rsid w:val="56122E7C"/>
    <w:rsid w:val="57BA6AF4"/>
    <w:rsid w:val="58F248C4"/>
    <w:rsid w:val="59620114"/>
    <w:rsid w:val="5A657825"/>
    <w:rsid w:val="5B15453C"/>
    <w:rsid w:val="5B5B72AF"/>
    <w:rsid w:val="5B9205A8"/>
    <w:rsid w:val="5F6872C3"/>
    <w:rsid w:val="5F916115"/>
    <w:rsid w:val="5FBD7C61"/>
    <w:rsid w:val="602F6AF9"/>
    <w:rsid w:val="60CC64DC"/>
    <w:rsid w:val="616609E0"/>
    <w:rsid w:val="61B15214"/>
    <w:rsid w:val="61CC0040"/>
    <w:rsid w:val="61F02667"/>
    <w:rsid w:val="63612F0B"/>
    <w:rsid w:val="65150600"/>
    <w:rsid w:val="659749A3"/>
    <w:rsid w:val="670712CE"/>
    <w:rsid w:val="67643CA6"/>
    <w:rsid w:val="67FD965F"/>
    <w:rsid w:val="681F3889"/>
    <w:rsid w:val="6889618B"/>
    <w:rsid w:val="689939B6"/>
    <w:rsid w:val="68EA3DBC"/>
    <w:rsid w:val="69B01DFA"/>
    <w:rsid w:val="6AC17542"/>
    <w:rsid w:val="6AD36AED"/>
    <w:rsid w:val="6C823BEC"/>
    <w:rsid w:val="6E3751E8"/>
    <w:rsid w:val="6E7D304A"/>
    <w:rsid w:val="7024182E"/>
    <w:rsid w:val="706E43F0"/>
    <w:rsid w:val="70820965"/>
    <w:rsid w:val="728920F3"/>
    <w:rsid w:val="72DB562A"/>
    <w:rsid w:val="73067B11"/>
    <w:rsid w:val="743B0856"/>
    <w:rsid w:val="74D1443E"/>
    <w:rsid w:val="76F07960"/>
    <w:rsid w:val="76F47432"/>
    <w:rsid w:val="772E51C9"/>
    <w:rsid w:val="77757275"/>
    <w:rsid w:val="788622C7"/>
    <w:rsid w:val="795004E9"/>
    <w:rsid w:val="7B456A99"/>
    <w:rsid w:val="7E0115C8"/>
    <w:rsid w:val="7F1E32EB"/>
    <w:rsid w:val="7F3E7EAD"/>
    <w:rsid w:val="7F776B43"/>
    <w:rsid w:val="7F971342"/>
    <w:rsid w:val="7FED2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firstLine="0" w:firstLineChars="0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100" w:afterLines="100" w:line="440" w:lineRule="exact"/>
      <w:outlineLvl w:val="2"/>
    </w:pPr>
    <w:rPr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qFormat/>
    <w:uiPriority w:val="0"/>
    <w:pPr>
      <w:spacing w:line="240" w:lineRule="auto"/>
      <w:ind w:left="100" w:leftChars="400" w:hanging="200" w:hangingChars="200"/>
    </w:pPr>
    <w:rPr>
      <w:rFonts w:eastAsia="宋体"/>
      <w:sz w:val="21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9">
    <w:name w:val="Date"/>
    <w:basedOn w:val="1"/>
    <w:next w:val="1"/>
    <w:qFormat/>
    <w:uiPriority w:val="99"/>
    <w:pPr>
      <w:adjustRightInd w:val="0"/>
      <w:spacing w:line="360" w:lineRule="atLeast"/>
      <w:ind w:left="100" w:leftChars="2500"/>
      <w:jc w:val="left"/>
      <w:textAlignment w:val="baseline"/>
    </w:pPr>
    <w:rPr>
      <w:kern w:val="0"/>
      <w:sz w:val="24"/>
      <w:szCs w:val="24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widowControl/>
      <w:spacing w:after="120" w:line="480" w:lineRule="auto"/>
      <w:jc w:val="left"/>
    </w:pPr>
    <w:rPr>
      <w:rFonts w:ascii="宋体" w:hAnsi="宋体"/>
      <w:kern w:val="0"/>
      <w:sz w:val="24"/>
      <w:szCs w:val="24"/>
    </w:rPr>
  </w:style>
  <w:style w:type="paragraph" w:styleId="13">
    <w:name w:val="Normal (Web)"/>
    <w:basedOn w:val="1"/>
    <w:qFormat/>
    <w:uiPriority w:val="0"/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0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21">
    <w:name w:val="列表段落1"/>
    <w:qFormat/>
    <w:uiPriority w:val="34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2118</Words>
  <Characters>2303</Characters>
  <Lines>0</Lines>
  <Paragraphs>0</Paragraphs>
  <TotalTime>4</TotalTime>
  <ScaleCrop>false</ScaleCrop>
  <LinksUpToDate>false</LinksUpToDate>
  <CharactersWithSpaces>2346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2021-08-24T18:53:00Z</dcterms:created>
  <dc:creator>张曼丽</dc:creator>
  <cp:lastModifiedBy>徐超</cp:lastModifiedBy>
  <cp:lastPrinted>2026-05-27T18:37:00Z</cp:lastPrinted>
  <dcterms:modified xsi:type="dcterms:W3CDTF">2026-05-27T11:19:46Z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27550690DD3D37F730CF0A6AB3C2A6B7_43</vt:lpwstr>
  </property>
  <property fmtid="{D5CDD505-2E9C-101B-9397-08002B2CF9AE}" pid="4" name="KSOTemplateDocerSaveRecord">
    <vt:lpwstr>eyJoZGlkIjoiYzc1MmJlNTQ3ZWMzY2NiZDc0OWYzOTNiMzZjNjc3N2IiLCJ1c2VySWQiOiI3NzAzMjY4NDMifQ==</vt:lpwstr>
  </property>
</Properties>
</file>