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336" w:lineRule="auto"/>
        <w:jc w:val="center"/>
        <w:rPr>
          <w:b/>
          <w:bCs/>
          <w:sz w:val="44"/>
          <w:szCs w:val="44"/>
        </w:rPr>
      </w:pPr>
      <w:r>
        <w:rPr>
          <w:rFonts w:hint="eastAsia"/>
          <w:b/>
          <w:bCs/>
          <w:sz w:val="44"/>
          <w:szCs w:val="44"/>
        </w:rPr>
        <w:t>采购询价函</w:t>
      </w:r>
    </w:p>
    <w:p>
      <w:pPr>
        <w:keepNext w:val="0"/>
        <w:keepLines w:val="0"/>
        <w:pageBreakBefore w:val="0"/>
        <w:kinsoku/>
        <w:wordWrap/>
        <w:overflowPunct/>
        <w:topLinePunct w:val="0"/>
        <w:autoSpaceDE/>
        <w:autoSpaceDN/>
        <w:bidi w:val="0"/>
        <w:adjustRightInd/>
        <w:snapToGrid/>
        <w:spacing w:line="336" w:lineRule="auto"/>
        <w:rPr>
          <w:sz w:val="24"/>
        </w:rPr>
      </w:pPr>
      <w:r>
        <w:rPr>
          <w:rFonts w:hint="eastAsia"/>
          <w:sz w:val="24"/>
        </w:rPr>
        <w:t>各受邀报价单位：</w:t>
      </w: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480" w:firstLineChars="200"/>
        <w:jc w:val="left"/>
        <w:textAlignment w:val="auto"/>
        <w:rPr>
          <w:rFonts w:hint="eastAsia" w:ascii="Times New Roman" w:hAnsi="Times New Roman" w:eastAsia="宋体" w:cs="Times New Roman"/>
          <w:b w:val="0"/>
          <w:kern w:val="2"/>
          <w:sz w:val="24"/>
          <w:szCs w:val="24"/>
          <w:lang w:val="en-US" w:eastAsia="zh-CN" w:bidi="ar-SA"/>
        </w:rPr>
      </w:pPr>
      <w:r>
        <w:rPr>
          <w:rFonts w:hint="eastAsia" w:ascii="Times New Roman" w:hAnsi="Times New Roman" w:eastAsia="宋体" w:cs="Times New Roman"/>
          <w:b w:val="0"/>
          <w:kern w:val="2"/>
          <w:sz w:val="24"/>
          <w:szCs w:val="24"/>
          <w:lang w:val="en-US" w:eastAsia="zh-CN" w:bidi="ar-SA"/>
        </w:rPr>
        <w:t>我司以询价采购方式进行下列货物的采购，请按以下要求</w:t>
      </w:r>
      <w:r>
        <w:rPr>
          <w:rFonts w:hint="eastAsia" w:cs="Times New Roman"/>
          <w:b w:val="0"/>
          <w:kern w:val="2"/>
          <w:sz w:val="24"/>
          <w:szCs w:val="24"/>
          <w:lang w:val="en-US" w:eastAsia="zh-CN" w:bidi="ar-SA"/>
        </w:rPr>
        <w:t>按时</w:t>
      </w:r>
      <w:r>
        <w:rPr>
          <w:rFonts w:hint="eastAsia" w:ascii="Times New Roman" w:hAnsi="Times New Roman" w:eastAsia="宋体" w:cs="Times New Roman"/>
          <w:b w:val="0"/>
          <w:kern w:val="2"/>
          <w:sz w:val="24"/>
          <w:szCs w:val="24"/>
          <w:lang w:val="en-US" w:eastAsia="zh-CN" w:bidi="ar-SA"/>
        </w:rPr>
        <w:t>将报价文件（原件）邮寄至我司采购</w:t>
      </w:r>
      <w:r>
        <w:rPr>
          <w:rFonts w:hint="eastAsia" w:cs="Times New Roman"/>
          <w:b w:val="0"/>
          <w:kern w:val="2"/>
          <w:sz w:val="24"/>
          <w:szCs w:val="24"/>
          <w:lang w:val="en-US" w:eastAsia="zh-CN" w:bidi="ar-SA"/>
        </w:rPr>
        <w:t>管理</w:t>
      </w:r>
      <w:r>
        <w:rPr>
          <w:rFonts w:hint="eastAsia" w:ascii="Times New Roman" w:hAnsi="Times New Roman" w:eastAsia="宋体" w:cs="Times New Roman"/>
          <w:b w:val="0"/>
          <w:kern w:val="2"/>
          <w:sz w:val="24"/>
          <w:szCs w:val="24"/>
          <w:lang w:val="en-US" w:eastAsia="zh-CN" w:bidi="ar-SA"/>
        </w:rPr>
        <w:t>部。</w:t>
      </w:r>
    </w:p>
    <w:p>
      <w:pPr>
        <w:keepNext w:val="0"/>
        <w:keepLines w:val="0"/>
        <w:pageBreakBefore w:val="0"/>
        <w:widowControl w:val="0"/>
        <w:numPr>
          <w:ilvl w:val="0"/>
          <w:numId w:val="1"/>
        </w:numPr>
        <w:kinsoku/>
        <w:wordWrap/>
        <w:overflowPunct/>
        <w:topLinePunct w:val="0"/>
        <w:autoSpaceDE/>
        <w:autoSpaceDN/>
        <w:bidi w:val="0"/>
        <w:adjustRightInd/>
        <w:snapToGrid/>
        <w:spacing w:line="312" w:lineRule="auto"/>
        <w:ind w:left="0" w:leftChars="0" w:firstLine="0" w:firstLineChars="0"/>
        <w:jc w:val="left"/>
        <w:textAlignment w:val="auto"/>
        <w:rPr>
          <w:rFonts w:hint="eastAsia" w:ascii="Times New Roman" w:hAnsi="Times New Roman" w:eastAsia="宋体" w:cs="Times New Roman"/>
          <w:b w:val="0"/>
          <w:kern w:val="2"/>
          <w:sz w:val="24"/>
          <w:szCs w:val="24"/>
          <w:lang w:val="en-US" w:eastAsia="zh-CN" w:bidi="ar-SA"/>
        </w:rPr>
      </w:pPr>
      <w:r>
        <w:rPr>
          <w:rFonts w:hint="eastAsia" w:ascii="Times New Roman" w:hAnsi="Times New Roman" w:eastAsia="宋体" w:cs="Times New Roman"/>
          <w:b w:val="0"/>
          <w:kern w:val="2"/>
          <w:sz w:val="24"/>
          <w:szCs w:val="24"/>
          <w:lang w:val="en-US" w:eastAsia="zh-CN" w:bidi="ar-SA"/>
        </w:rPr>
        <w:t>项目名称：</w:t>
      </w:r>
      <w:r>
        <w:rPr>
          <w:rFonts w:hint="eastAsia" w:cs="Times New Roman"/>
          <w:b w:val="0"/>
          <w:kern w:val="2"/>
          <w:sz w:val="24"/>
          <w:szCs w:val="24"/>
          <w:lang w:val="en-US" w:eastAsia="zh-CN" w:bidi="ar-SA"/>
        </w:rPr>
        <w:t>PE管材</w:t>
      </w:r>
      <w:r>
        <w:rPr>
          <w:rFonts w:hint="eastAsia" w:ascii="Times New Roman" w:hAnsi="Times New Roman" w:eastAsia="宋体" w:cs="Times New Roman"/>
          <w:b w:val="0"/>
          <w:kern w:val="2"/>
          <w:sz w:val="24"/>
          <w:szCs w:val="24"/>
          <w:lang w:val="en-US" w:eastAsia="zh-CN" w:bidi="ar-SA"/>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312" w:lineRule="auto"/>
        <w:ind w:left="0" w:leftChars="0" w:firstLine="0" w:firstLineChars="0"/>
        <w:jc w:val="left"/>
        <w:textAlignment w:val="auto"/>
        <w:rPr>
          <w:rFonts w:hint="eastAsia" w:ascii="Times New Roman" w:hAnsi="Times New Roman" w:eastAsia="宋体" w:cs="Times New Roman"/>
          <w:b w:val="0"/>
          <w:kern w:val="2"/>
          <w:sz w:val="24"/>
          <w:szCs w:val="24"/>
          <w:lang w:val="en-US" w:eastAsia="zh-CN" w:bidi="ar-SA"/>
        </w:rPr>
      </w:pPr>
      <w:r>
        <w:rPr>
          <w:rFonts w:hint="eastAsia" w:ascii="Times New Roman" w:hAnsi="Times New Roman" w:eastAsia="宋体" w:cs="Times New Roman"/>
          <w:b w:val="0"/>
          <w:kern w:val="2"/>
          <w:sz w:val="24"/>
          <w:szCs w:val="24"/>
          <w:lang w:val="en-US" w:eastAsia="zh-CN" w:bidi="ar-SA"/>
        </w:rPr>
        <w:t>拦标价：</w:t>
      </w:r>
      <w:r>
        <w:rPr>
          <w:rFonts w:hint="eastAsia" w:cs="Times New Roman"/>
          <w:b w:val="0"/>
          <w:kern w:val="2"/>
          <w:sz w:val="24"/>
          <w:szCs w:val="24"/>
          <w:lang w:val="en-US" w:eastAsia="zh-CN" w:bidi="ar-SA"/>
        </w:rPr>
        <w:t>62</w:t>
      </w:r>
      <w:r>
        <w:rPr>
          <w:rFonts w:hint="eastAsia" w:ascii="Times New Roman" w:hAnsi="Times New Roman" w:eastAsia="宋体" w:cs="Times New Roman"/>
          <w:b w:val="0"/>
          <w:kern w:val="2"/>
          <w:sz w:val="24"/>
          <w:szCs w:val="24"/>
          <w:lang w:val="en-US" w:eastAsia="zh-CN" w:bidi="ar-SA"/>
        </w:rPr>
        <w:t xml:space="preserve">万元     </w:t>
      </w:r>
    </w:p>
    <w:p>
      <w:pPr>
        <w:keepNext w:val="0"/>
        <w:keepLines w:val="0"/>
        <w:pageBreakBefore w:val="0"/>
        <w:widowControl w:val="0"/>
        <w:numPr>
          <w:ilvl w:val="0"/>
          <w:numId w:val="1"/>
        </w:numPr>
        <w:kinsoku/>
        <w:wordWrap/>
        <w:overflowPunct/>
        <w:topLinePunct w:val="0"/>
        <w:autoSpaceDE/>
        <w:autoSpaceDN/>
        <w:bidi w:val="0"/>
        <w:adjustRightInd/>
        <w:snapToGrid/>
        <w:spacing w:line="312" w:lineRule="auto"/>
        <w:ind w:left="0" w:leftChars="0" w:firstLine="0" w:firstLineChars="0"/>
        <w:jc w:val="left"/>
        <w:textAlignment w:val="auto"/>
        <w:rPr>
          <w:rFonts w:hint="eastAsia" w:ascii="Times New Roman" w:hAnsi="Times New Roman" w:eastAsia="宋体" w:cs="Times New Roman"/>
          <w:b w:val="0"/>
          <w:kern w:val="2"/>
          <w:sz w:val="24"/>
          <w:szCs w:val="24"/>
          <w:lang w:val="en-US" w:eastAsia="zh-CN" w:bidi="ar-SA"/>
        </w:rPr>
      </w:pPr>
      <w:r>
        <w:rPr>
          <w:rFonts w:hint="eastAsia" w:ascii="Times New Roman" w:hAnsi="Times New Roman" w:eastAsia="宋体" w:cs="Times New Roman"/>
          <w:b w:val="0"/>
          <w:kern w:val="2"/>
          <w:sz w:val="24"/>
          <w:szCs w:val="24"/>
          <w:lang w:val="en-US" w:eastAsia="zh-CN" w:bidi="ar-SA"/>
        </w:rPr>
        <w:t>项目编号：X2024-0</w:t>
      </w:r>
      <w:r>
        <w:rPr>
          <w:rFonts w:hint="eastAsia" w:cs="Times New Roman"/>
          <w:b w:val="0"/>
          <w:kern w:val="2"/>
          <w:sz w:val="24"/>
          <w:szCs w:val="24"/>
          <w:lang w:val="en-US" w:eastAsia="zh-CN" w:bidi="ar-SA"/>
        </w:rPr>
        <w:t>4</w:t>
      </w:r>
      <w:r>
        <w:rPr>
          <w:rFonts w:hint="eastAsia" w:ascii="Times New Roman" w:hAnsi="Times New Roman" w:eastAsia="宋体" w:cs="Times New Roman"/>
          <w:b w:val="0"/>
          <w:kern w:val="2"/>
          <w:sz w:val="24"/>
          <w:szCs w:val="24"/>
          <w:lang w:val="en-US" w:eastAsia="zh-CN" w:bidi="ar-SA"/>
        </w:rPr>
        <w:t>-01</w:t>
      </w:r>
    </w:p>
    <w:p>
      <w:pPr>
        <w:numPr>
          <w:ilvl w:val="0"/>
          <w:numId w:val="0"/>
        </w:numPr>
        <w:spacing w:line="360" w:lineRule="auto"/>
        <w:ind w:right="120" w:rightChars="0"/>
        <w:rPr>
          <w:rFonts w:hint="eastAsia" w:ascii="宋体" w:hAnsi="宋体" w:eastAsia="宋体" w:cs="Times New Roman"/>
          <w:sz w:val="24"/>
          <w:szCs w:val="24"/>
          <w:highlight w:val="none"/>
          <w:lang w:val="en-US" w:eastAsia="zh-CN"/>
        </w:rPr>
      </w:pPr>
      <w:r>
        <w:rPr>
          <w:rFonts w:hint="eastAsia" w:ascii="宋体" w:hAnsi="宋体"/>
          <w:sz w:val="24"/>
          <w:szCs w:val="24"/>
          <w:highlight w:val="none"/>
          <w:lang w:val="en-US" w:eastAsia="zh-CN"/>
        </w:rPr>
        <w:t>4、</w:t>
      </w:r>
      <w:r>
        <w:rPr>
          <w:rFonts w:ascii="宋体" w:hAnsi="宋体"/>
          <w:sz w:val="24"/>
          <w:szCs w:val="24"/>
          <w:highlight w:val="none"/>
        </w:rPr>
        <w:t xml:space="preserve"> </w:t>
      </w:r>
      <w:r>
        <w:rPr>
          <w:rFonts w:hint="eastAsia" w:ascii="宋体" w:hAnsi="宋体" w:eastAsia="宋体" w:cs="Times New Roman"/>
          <w:sz w:val="24"/>
          <w:szCs w:val="24"/>
          <w:highlight w:val="none"/>
          <w:lang w:val="en-US" w:eastAsia="zh-CN"/>
        </w:rPr>
        <w:t>询价文件的获取及报价文件递交地点和时间</w:t>
      </w:r>
    </w:p>
    <w:p>
      <w:pPr>
        <w:numPr>
          <w:ilvl w:val="0"/>
          <w:numId w:val="2"/>
        </w:numPr>
        <w:spacing w:line="360" w:lineRule="auto"/>
        <w:ind w:left="0" w:leftChars="0" w:right="120" w:rightChars="0" w:firstLine="400" w:firstLineChars="0"/>
        <w:rPr>
          <w:rFonts w:hint="eastAsia"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询价文件获取时间：北京时间2024年04月0</w:t>
      </w:r>
      <w:r>
        <w:rPr>
          <w:rFonts w:hint="eastAsia" w:ascii="宋体" w:hAnsi="宋体" w:cs="Times New Roman"/>
          <w:sz w:val="24"/>
          <w:szCs w:val="24"/>
          <w:highlight w:val="none"/>
          <w:lang w:val="en-US" w:eastAsia="zh-CN"/>
        </w:rPr>
        <w:t>9</w:t>
      </w:r>
      <w:r>
        <w:rPr>
          <w:rFonts w:hint="eastAsia" w:ascii="宋体" w:hAnsi="宋体" w:eastAsia="宋体" w:cs="Times New Roman"/>
          <w:sz w:val="24"/>
          <w:szCs w:val="24"/>
          <w:highlight w:val="none"/>
          <w:lang w:val="en-US" w:eastAsia="zh-CN"/>
        </w:rPr>
        <w:t>日-2024年04月1</w:t>
      </w:r>
      <w:r>
        <w:rPr>
          <w:rFonts w:hint="eastAsia" w:ascii="宋体" w:hAnsi="宋体" w:cs="Times New Roman"/>
          <w:sz w:val="24"/>
          <w:szCs w:val="24"/>
          <w:highlight w:val="none"/>
          <w:lang w:val="en-US" w:eastAsia="zh-CN"/>
        </w:rPr>
        <w:t>2</w:t>
      </w:r>
      <w:r>
        <w:rPr>
          <w:rFonts w:hint="eastAsia" w:ascii="宋体" w:hAnsi="宋体" w:eastAsia="宋体" w:cs="Times New Roman"/>
          <w:sz w:val="24"/>
          <w:szCs w:val="24"/>
          <w:highlight w:val="none"/>
          <w:lang w:val="en-US" w:eastAsia="zh-CN"/>
        </w:rPr>
        <w:t>日</w:t>
      </w:r>
    </w:p>
    <w:p>
      <w:pPr>
        <w:numPr>
          <w:ilvl w:val="0"/>
          <w:numId w:val="2"/>
        </w:numPr>
        <w:spacing w:line="360" w:lineRule="auto"/>
        <w:ind w:left="0" w:leftChars="0" w:right="120" w:rightChars="0" w:firstLine="400" w:firstLineChars="0"/>
        <w:rPr>
          <w:rFonts w:hint="eastAsia"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询价文件获取方式：天津水务集团有限公司“津水云采”招投标平台。</w:t>
      </w:r>
    </w:p>
    <w:p>
      <w:pPr>
        <w:numPr>
          <w:ilvl w:val="0"/>
          <w:numId w:val="2"/>
        </w:numPr>
        <w:spacing w:line="360" w:lineRule="auto"/>
        <w:ind w:left="0" w:leftChars="0" w:right="120" w:rightChars="0" w:firstLine="400" w:firstLineChars="0"/>
        <w:rPr>
          <w:rFonts w:hint="eastAsia"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报价截止时间：2024年04月1</w:t>
      </w:r>
      <w:r>
        <w:rPr>
          <w:rFonts w:hint="eastAsia" w:ascii="宋体" w:hAnsi="宋体" w:cs="Times New Roman"/>
          <w:sz w:val="24"/>
          <w:szCs w:val="24"/>
          <w:highlight w:val="none"/>
          <w:lang w:val="en-US" w:eastAsia="zh-CN"/>
        </w:rPr>
        <w:t>5</w:t>
      </w:r>
      <w:r>
        <w:rPr>
          <w:rFonts w:hint="eastAsia" w:ascii="宋体" w:hAnsi="宋体" w:eastAsia="宋体" w:cs="Times New Roman"/>
          <w:sz w:val="24"/>
          <w:szCs w:val="24"/>
          <w:highlight w:val="none"/>
          <w:lang w:val="en-US" w:eastAsia="zh-CN"/>
        </w:rPr>
        <w:t>日10:00（北京时间）</w:t>
      </w:r>
      <w:r>
        <w:rPr>
          <w:rFonts w:hint="eastAsia" w:ascii="宋体" w:hAnsi="宋体" w:cs="Times New Roman"/>
          <w:sz w:val="24"/>
          <w:szCs w:val="24"/>
          <w:highlight w:val="none"/>
          <w:lang w:val="en-US" w:eastAsia="zh-CN"/>
        </w:rPr>
        <w:t>。</w:t>
      </w:r>
    </w:p>
    <w:p>
      <w:pPr>
        <w:numPr>
          <w:ilvl w:val="0"/>
          <w:numId w:val="2"/>
        </w:numPr>
        <w:spacing w:line="360" w:lineRule="auto"/>
        <w:ind w:left="0" w:leftChars="0" w:right="120" w:rightChars="0" w:firstLine="400" w:firstLineChars="0"/>
        <w:rPr>
          <w:rFonts w:hint="eastAsia"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报价文件应按要求报名报价明细</w:t>
      </w:r>
      <w:r>
        <w:rPr>
          <w:rFonts w:hint="eastAsia" w:ascii="宋体" w:hAnsi="宋体" w:cs="Times New Roman"/>
          <w:sz w:val="24"/>
          <w:szCs w:val="24"/>
          <w:highlight w:val="none"/>
          <w:lang w:val="en-US" w:eastAsia="zh-CN"/>
        </w:rPr>
        <w:t>。</w:t>
      </w:r>
    </w:p>
    <w:p>
      <w:pPr>
        <w:numPr>
          <w:ilvl w:val="0"/>
          <w:numId w:val="2"/>
        </w:numPr>
        <w:spacing w:line="360" w:lineRule="auto"/>
        <w:ind w:left="0" w:leftChars="0" w:right="120" w:rightChars="0" w:firstLine="400" w:firstLineChars="0"/>
        <w:rPr>
          <w:rFonts w:hint="default"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报价文件递交地点：天津市北辰区铁东北路天津</w:t>
      </w:r>
      <w:r>
        <w:rPr>
          <w:rFonts w:hint="eastAsia" w:ascii="宋体" w:hAnsi="宋体" w:cs="Times New Roman"/>
          <w:sz w:val="24"/>
          <w:szCs w:val="24"/>
          <w:highlight w:val="none"/>
          <w:lang w:val="en-US" w:eastAsia="zh-CN"/>
        </w:rPr>
        <w:t>市管道工程集团有限公司保温管厂内采购管理部。</w:t>
      </w:r>
    </w:p>
    <w:p>
      <w:pPr>
        <w:numPr>
          <w:ilvl w:val="0"/>
          <w:numId w:val="2"/>
        </w:numPr>
        <w:spacing w:line="360" w:lineRule="auto"/>
        <w:ind w:left="0" w:leftChars="0" w:right="120" w:rightChars="0" w:firstLine="400" w:firstLineChars="0"/>
        <w:rPr>
          <w:rFonts w:hint="default"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开标时间：2024年04月1</w:t>
      </w:r>
      <w:r>
        <w:rPr>
          <w:rFonts w:hint="eastAsia" w:ascii="宋体" w:hAnsi="宋体" w:cs="Times New Roman"/>
          <w:sz w:val="24"/>
          <w:szCs w:val="24"/>
          <w:highlight w:val="none"/>
          <w:lang w:val="en-US" w:eastAsia="zh-CN"/>
        </w:rPr>
        <w:t>5</w:t>
      </w:r>
      <w:bookmarkStart w:id="0" w:name="_GoBack"/>
      <w:bookmarkEnd w:id="0"/>
      <w:r>
        <w:rPr>
          <w:rFonts w:hint="eastAsia" w:ascii="宋体" w:hAnsi="宋体" w:eastAsia="宋体" w:cs="Times New Roman"/>
          <w:sz w:val="24"/>
          <w:szCs w:val="24"/>
          <w:highlight w:val="none"/>
          <w:lang w:val="en-US" w:eastAsia="zh-CN"/>
        </w:rPr>
        <w:t>日10:00（北京时间）。</w:t>
      </w:r>
    </w:p>
    <w:p>
      <w:pPr>
        <w:numPr>
          <w:ilvl w:val="0"/>
          <w:numId w:val="0"/>
        </w:numPr>
        <w:spacing w:line="360" w:lineRule="auto"/>
        <w:ind w:right="120" w:rightChars="0"/>
        <w:rPr>
          <w:rFonts w:hint="default" w:ascii="宋体" w:hAnsi="宋体" w:eastAsia="宋体" w:cs="Times New Roman"/>
          <w:sz w:val="24"/>
          <w:szCs w:val="24"/>
          <w:highlight w:val="none"/>
          <w:lang w:val="en-US" w:eastAsia="zh-CN"/>
        </w:rPr>
      </w:pPr>
    </w:p>
    <w:p>
      <w:pPr>
        <w:keepNext w:val="0"/>
        <w:keepLines w:val="0"/>
        <w:pageBreakBefore w:val="0"/>
        <w:numPr>
          <w:ilvl w:val="0"/>
          <w:numId w:val="3"/>
        </w:numPr>
        <w:kinsoku/>
        <w:wordWrap/>
        <w:overflowPunct/>
        <w:topLinePunct w:val="0"/>
        <w:autoSpaceDE/>
        <w:autoSpaceDN/>
        <w:bidi w:val="0"/>
        <w:adjustRightInd/>
        <w:snapToGrid/>
        <w:spacing w:line="336" w:lineRule="auto"/>
        <w:rPr>
          <w:rFonts w:hint="eastAsia"/>
          <w:b/>
          <w:sz w:val="24"/>
        </w:rPr>
      </w:pPr>
      <w:r>
        <w:rPr>
          <w:rFonts w:hint="eastAsia"/>
          <w:b/>
          <w:sz w:val="24"/>
        </w:rPr>
        <w:t>拟采购货物一览表</w:t>
      </w:r>
    </w:p>
    <w:tbl>
      <w:tblPr>
        <w:tblStyle w:val="3"/>
        <w:tblW w:w="1058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0"/>
        <w:gridCol w:w="2731"/>
        <w:gridCol w:w="2655"/>
        <w:gridCol w:w="720"/>
        <w:gridCol w:w="810"/>
        <w:gridCol w:w="986"/>
        <w:gridCol w:w="740"/>
        <w:gridCol w:w="11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jc w:val="center"/>
        </w:trPr>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36"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36"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36"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型号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36"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36" w:lineRule="auto"/>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数量</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36"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根数</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36"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w:t>
            </w: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36"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jc w:val="center"/>
        </w:trPr>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36"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PE给水管</w:t>
            </w:r>
            <w:r>
              <w:rPr>
                <w:rFonts w:hint="eastAsia" w:ascii="宋体" w:hAnsi="宋体" w:cs="宋体"/>
                <w:i w:val="0"/>
                <w:iCs w:val="0"/>
                <w:color w:val="000000"/>
                <w:kern w:val="0"/>
                <w:sz w:val="22"/>
                <w:szCs w:val="22"/>
                <w:u w:val="none"/>
                <w:lang w:val="en-US" w:eastAsia="zh-CN" w:bidi="ar"/>
              </w:rPr>
              <w:t>（6米/根）</w:t>
            </w:r>
          </w:p>
        </w:tc>
        <w:tc>
          <w:tcPr>
            <w:tcW w:w="26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SDR17 DN200</w:t>
            </w:r>
          </w:p>
        </w:tc>
        <w:tc>
          <w:tcPr>
            <w:tcW w:w="7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36"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36" w:lineRule="auto"/>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6000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36" w:lineRule="auto"/>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1000</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36" w:lineRule="auto"/>
              <w:jc w:val="center"/>
              <w:textAlignment w:val="center"/>
              <w:rPr>
                <w:rFonts w:ascii="仿宋" w:hAnsi="仿宋" w:eastAsia="仿宋" w:cs="仿宋"/>
                <w:i w:val="0"/>
                <w:iCs w:val="0"/>
                <w:color w:val="000000"/>
                <w:sz w:val="20"/>
                <w:szCs w:val="20"/>
                <w:u w:val="none"/>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36" w:lineRule="auto"/>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jc w:val="center"/>
        </w:trPr>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36"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PE给水管</w:t>
            </w:r>
            <w:r>
              <w:rPr>
                <w:rFonts w:hint="eastAsia" w:ascii="宋体" w:hAnsi="宋体" w:cs="宋体"/>
                <w:i w:val="0"/>
                <w:iCs w:val="0"/>
                <w:color w:val="000000"/>
                <w:kern w:val="0"/>
                <w:sz w:val="22"/>
                <w:szCs w:val="22"/>
                <w:u w:val="none"/>
                <w:lang w:val="en-US" w:eastAsia="zh-CN" w:bidi="ar"/>
              </w:rPr>
              <w:t>（6米/根）</w:t>
            </w:r>
          </w:p>
        </w:tc>
        <w:tc>
          <w:tcPr>
            <w:tcW w:w="26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SDR17 DN63</w:t>
            </w:r>
          </w:p>
        </w:tc>
        <w:tc>
          <w:tcPr>
            <w:tcW w:w="7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36"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36" w:lineRule="auto"/>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3000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36" w:lineRule="auto"/>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500</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36" w:lineRule="auto"/>
              <w:jc w:val="center"/>
              <w:textAlignment w:val="center"/>
              <w:rPr>
                <w:rFonts w:hint="eastAsia" w:ascii="仿宋" w:hAnsi="仿宋" w:eastAsia="仿宋" w:cs="仿宋"/>
                <w:i w:val="0"/>
                <w:iCs w:val="0"/>
                <w:color w:val="000000"/>
                <w:sz w:val="20"/>
                <w:szCs w:val="20"/>
                <w:u w:val="none"/>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36" w:lineRule="auto"/>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36" w:lineRule="auto"/>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9</w:t>
            </w:r>
          </w:p>
        </w:tc>
        <w:tc>
          <w:tcPr>
            <w:tcW w:w="2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36"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336" w:lineRule="auto"/>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含税、含运费价格</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336" w:lineRule="auto"/>
              <w:jc w:val="center"/>
              <w:rPr>
                <w:rFonts w:hint="eastAsia" w:ascii="宋体" w:hAnsi="宋体" w:eastAsia="宋体" w:cs="宋体"/>
                <w:i w:val="0"/>
                <w:iCs w:val="0"/>
                <w:color w:val="000000"/>
                <w:sz w:val="22"/>
                <w:szCs w:val="22"/>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36" w:lineRule="auto"/>
              <w:jc w:val="center"/>
              <w:textAlignment w:val="center"/>
              <w:rPr>
                <w:rFonts w:hint="default" w:ascii="宋体" w:hAnsi="宋体" w:eastAsia="宋体" w:cs="宋体"/>
                <w:i w:val="0"/>
                <w:iCs w:val="0"/>
                <w:color w:val="000000"/>
                <w:sz w:val="22"/>
                <w:szCs w:val="22"/>
                <w:u w:val="none"/>
                <w:lang w:val="en-US"/>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36" w:lineRule="auto"/>
              <w:jc w:val="center"/>
              <w:textAlignment w:val="center"/>
              <w:rPr>
                <w:rFonts w:hint="default" w:ascii="宋体" w:hAnsi="宋体" w:eastAsia="宋体" w:cs="宋体"/>
                <w:i w:val="0"/>
                <w:iCs w:val="0"/>
                <w:color w:val="000000"/>
                <w:sz w:val="22"/>
                <w:szCs w:val="22"/>
                <w:u w:val="none"/>
                <w:lang w:val="en-US" w:eastAsia="zh-CN"/>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336" w:lineRule="auto"/>
              <w:jc w:val="center"/>
              <w:rPr>
                <w:rFonts w:hint="eastAsia" w:ascii="宋体" w:hAnsi="宋体" w:eastAsia="宋体" w:cs="宋体"/>
                <w:i w:val="0"/>
                <w:iCs w:val="0"/>
                <w:color w:val="000000"/>
                <w:sz w:val="22"/>
                <w:szCs w:val="22"/>
                <w:u w:val="none"/>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36" w:lineRule="auto"/>
              <w:jc w:val="center"/>
              <w:textAlignment w:val="center"/>
              <w:rPr>
                <w:rFonts w:hint="eastAsia" w:ascii="宋体" w:hAnsi="宋体" w:eastAsia="宋体" w:cs="宋体"/>
                <w:i w:val="0"/>
                <w:iCs w:val="0"/>
                <w:color w:val="000000"/>
                <w:sz w:val="22"/>
                <w:szCs w:val="22"/>
                <w:u w:val="none"/>
              </w:rPr>
            </w:pPr>
          </w:p>
        </w:tc>
      </w:tr>
    </w:tbl>
    <w:p>
      <w:pPr>
        <w:keepNext w:val="0"/>
        <w:keepLines w:val="0"/>
        <w:pageBreakBefore w:val="0"/>
        <w:widowControl w:val="0"/>
        <w:numPr>
          <w:ilvl w:val="0"/>
          <w:numId w:val="4"/>
        </w:numPr>
        <w:kinsoku/>
        <w:wordWrap/>
        <w:overflowPunct/>
        <w:topLinePunct w:val="0"/>
        <w:autoSpaceDE/>
        <w:autoSpaceDN/>
        <w:bidi w:val="0"/>
        <w:adjustRightInd/>
        <w:snapToGrid/>
        <w:spacing w:line="312" w:lineRule="auto"/>
        <w:textAlignment w:val="auto"/>
        <w:rPr>
          <w:b/>
          <w:sz w:val="24"/>
        </w:rPr>
      </w:pPr>
      <w:r>
        <w:rPr>
          <w:rFonts w:hint="eastAsia"/>
          <w:b/>
          <w:sz w:val="24"/>
        </w:rPr>
        <w:t>与采购货物相关的要求</w:t>
      </w: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480" w:firstLineChars="200"/>
        <w:textAlignment w:val="auto"/>
        <w:rPr>
          <w:sz w:val="24"/>
        </w:rPr>
      </w:pPr>
      <w:r>
        <w:rPr>
          <w:rFonts w:hint="eastAsia" w:ascii="Times New Roman" w:hAnsi="Times New Roman" w:eastAsia="宋体" w:cs="Times New Roman"/>
          <w:b w:val="0"/>
          <w:kern w:val="2"/>
          <w:sz w:val="24"/>
          <w:szCs w:val="24"/>
          <w:lang w:val="en-US" w:eastAsia="zh-CN" w:bidi="ar-SA"/>
        </w:rPr>
        <w:t>1、</w:t>
      </w:r>
      <w:r>
        <w:rPr>
          <w:rFonts w:hint="eastAsia"/>
          <w:sz w:val="24"/>
        </w:rPr>
        <w:t>本次询价为整体采购，询价响应供应商报价时须写明单价及总价、产品的详细配置参数，报价包含货物运输、装卸、税收、售后服务等交付采购人使用前所有可能发生的费用，</w:t>
      </w:r>
      <w:r>
        <w:rPr>
          <w:rFonts w:hint="eastAsia"/>
          <w:color w:val="000000"/>
          <w:sz w:val="24"/>
        </w:rPr>
        <w:t>签订协议</w:t>
      </w:r>
      <w:r>
        <w:rPr>
          <w:rFonts w:hint="eastAsia"/>
          <w:sz w:val="24"/>
        </w:rPr>
        <w:t>后不再增补任何费用。</w:t>
      </w:r>
      <w:r>
        <w:rPr>
          <w:rFonts w:hint="eastAsia"/>
          <w:sz w:val="24"/>
          <w:lang w:val="en-US" w:eastAsia="zh-CN"/>
        </w:rPr>
        <w:t>报价</w:t>
      </w:r>
      <w:r>
        <w:rPr>
          <w:rFonts w:hint="eastAsia"/>
          <w:sz w:val="24"/>
          <w:u w:val="single"/>
          <w:lang w:val="en-US" w:eastAsia="zh-CN"/>
        </w:rPr>
        <w:t>最低</w:t>
      </w:r>
      <w:r>
        <w:rPr>
          <w:rFonts w:hint="eastAsia"/>
          <w:sz w:val="24"/>
          <w:lang w:val="en-US" w:eastAsia="zh-CN"/>
        </w:rPr>
        <w:t>单位为中标供应商</w:t>
      </w: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480" w:firstLineChars="200"/>
        <w:textAlignment w:val="auto"/>
      </w:pPr>
      <w:r>
        <w:rPr>
          <w:rFonts w:hint="eastAsia" w:ascii="Times New Roman" w:hAnsi="Times New Roman" w:eastAsia="宋体" w:cs="Times New Roman"/>
          <w:b w:val="0"/>
          <w:kern w:val="2"/>
          <w:sz w:val="24"/>
          <w:szCs w:val="24"/>
          <w:lang w:val="en-US" w:eastAsia="zh-CN" w:bidi="ar-SA"/>
        </w:rPr>
        <w:t>2、技术要求及质量标准：</w:t>
      </w:r>
    </w:p>
    <w:p>
      <w:pPr>
        <w:pStyle w:val="5"/>
        <w:numPr>
          <w:ilvl w:val="0"/>
          <w:numId w:val="0"/>
        </w:numPr>
        <w:ind w:leftChars="0" w:firstLine="840" w:firstLineChars="400"/>
      </w:pPr>
      <w:r>
        <w:t>聚乙烯管材外观及性能要求：</w:t>
      </w:r>
    </w:p>
    <w:p>
      <w:pPr>
        <w:pStyle w:val="5"/>
        <w:numPr>
          <w:ilvl w:val="0"/>
          <w:numId w:val="5"/>
        </w:numPr>
        <w:ind w:firstLineChars="0"/>
      </w:pPr>
      <w:r>
        <w:t>PE管性能应符合下表要求：</w:t>
      </w:r>
    </w:p>
    <w:tbl>
      <w:tblPr>
        <w:tblStyle w:val="3"/>
        <w:tblW w:w="6516" w:type="dxa"/>
        <w:jc w:val="center"/>
        <w:tblLayout w:type="autofit"/>
        <w:tblCellMar>
          <w:top w:w="0" w:type="dxa"/>
          <w:left w:w="108" w:type="dxa"/>
          <w:bottom w:w="0" w:type="dxa"/>
          <w:right w:w="108" w:type="dxa"/>
        </w:tblCellMar>
      </w:tblPr>
      <w:tblGrid>
        <w:gridCol w:w="3397"/>
        <w:gridCol w:w="3119"/>
      </w:tblGrid>
      <w:tr>
        <w:trPr>
          <w:trHeight w:val="405" w:hRule="atLeast"/>
          <w:jc w:val="center"/>
        </w:trPr>
        <w:tc>
          <w:tcPr>
            <w:tcW w:w="3397"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cs="宋体" w:eastAsiaTheme="minorHAnsi"/>
                <w:kern w:val="0"/>
                <w:sz w:val="20"/>
                <w:szCs w:val="20"/>
              </w:rPr>
            </w:pPr>
            <w:r>
              <w:rPr>
                <w:rFonts w:hint="eastAsia" w:cs="宋体" w:eastAsiaTheme="minorHAnsi"/>
                <w:kern w:val="0"/>
                <w:sz w:val="20"/>
                <w:szCs w:val="20"/>
              </w:rPr>
              <w:t>性能</w:t>
            </w:r>
          </w:p>
        </w:tc>
        <w:tc>
          <w:tcPr>
            <w:tcW w:w="31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eastAsiaTheme="minorHAnsi"/>
                <w:kern w:val="0"/>
                <w:sz w:val="20"/>
                <w:szCs w:val="20"/>
              </w:rPr>
            </w:pPr>
            <w:r>
              <w:rPr>
                <w:rFonts w:hint="eastAsia" w:cs="宋体" w:eastAsiaTheme="minorHAnsi"/>
                <w:kern w:val="0"/>
                <w:sz w:val="20"/>
                <w:szCs w:val="20"/>
              </w:rPr>
              <w:t>指标</w:t>
            </w:r>
          </w:p>
        </w:tc>
      </w:tr>
      <w:tr>
        <w:tblPrEx>
          <w:tblCellMar>
            <w:top w:w="0" w:type="dxa"/>
            <w:left w:w="108" w:type="dxa"/>
            <w:bottom w:w="0" w:type="dxa"/>
            <w:right w:w="108" w:type="dxa"/>
          </w:tblCellMar>
        </w:tblPrEx>
        <w:trPr>
          <w:trHeight w:val="405" w:hRule="atLeast"/>
          <w:jc w:val="center"/>
        </w:trPr>
        <w:tc>
          <w:tcPr>
            <w:tcW w:w="3397"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cs="宋体" w:eastAsiaTheme="minorHAnsi"/>
                <w:kern w:val="0"/>
                <w:sz w:val="20"/>
                <w:szCs w:val="20"/>
              </w:rPr>
            </w:pPr>
            <w:r>
              <w:rPr>
                <w:rFonts w:hint="eastAsia" w:cs="宋体" w:eastAsiaTheme="minorHAnsi"/>
                <w:kern w:val="0"/>
                <w:sz w:val="20"/>
                <w:szCs w:val="20"/>
              </w:rPr>
              <w:t>任一点拉伸屈服强度</w:t>
            </w:r>
          </w:p>
        </w:tc>
        <w:tc>
          <w:tcPr>
            <w:tcW w:w="31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eastAsiaTheme="minorHAnsi"/>
                <w:kern w:val="0"/>
                <w:sz w:val="20"/>
                <w:szCs w:val="20"/>
              </w:rPr>
            </w:pPr>
            <w:r>
              <w:rPr>
                <w:rFonts w:hint="eastAsia" w:cs="宋体" w:eastAsiaTheme="minorHAnsi"/>
                <w:kern w:val="0"/>
                <w:sz w:val="20"/>
                <w:szCs w:val="20"/>
              </w:rPr>
              <w:t>≥19Mpa</w:t>
            </w:r>
          </w:p>
        </w:tc>
      </w:tr>
      <w:tr>
        <w:tblPrEx>
          <w:tblCellMar>
            <w:top w:w="0" w:type="dxa"/>
            <w:left w:w="108" w:type="dxa"/>
            <w:bottom w:w="0" w:type="dxa"/>
            <w:right w:w="108" w:type="dxa"/>
          </w:tblCellMar>
        </w:tblPrEx>
        <w:trPr>
          <w:trHeight w:val="405" w:hRule="atLeast"/>
          <w:jc w:val="center"/>
        </w:trPr>
        <w:tc>
          <w:tcPr>
            <w:tcW w:w="3397"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cs="宋体" w:eastAsiaTheme="minorHAnsi"/>
                <w:kern w:val="0"/>
                <w:sz w:val="20"/>
                <w:szCs w:val="20"/>
              </w:rPr>
            </w:pPr>
            <w:r>
              <w:rPr>
                <w:rFonts w:hint="eastAsia" w:cs="宋体" w:eastAsiaTheme="minorHAnsi"/>
                <w:kern w:val="0"/>
                <w:sz w:val="20"/>
                <w:szCs w:val="20"/>
              </w:rPr>
              <w:t>任一点断裂伸长率</w:t>
            </w:r>
          </w:p>
        </w:tc>
        <w:tc>
          <w:tcPr>
            <w:tcW w:w="31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eastAsiaTheme="minorHAnsi"/>
                <w:kern w:val="0"/>
                <w:sz w:val="20"/>
                <w:szCs w:val="20"/>
              </w:rPr>
            </w:pPr>
            <w:r>
              <w:rPr>
                <w:rFonts w:hint="eastAsia" w:cs="宋体" w:eastAsiaTheme="minorHAnsi"/>
                <w:kern w:val="0"/>
                <w:sz w:val="20"/>
                <w:szCs w:val="20"/>
              </w:rPr>
              <w:t>≥350%</w:t>
            </w:r>
          </w:p>
        </w:tc>
      </w:tr>
      <w:tr>
        <w:tblPrEx>
          <w:tblCellMar>
            <w:top w:w="0" w:type="dxa"/>
            <w:left w:w="108" w:type="dxa"/>
            <w:bottom w:w="0" w:type="dxa"/>
            <w:right w:w="108" w:type="dxa"/>
          </w:tblCellMar>
        </w:tblPrEx>
        <w:trPr>
          <w:trHeight w:val="405" w:hRule="atLeast"/>
          <w:jc w:val="center"/>
        </w:trPr>
        <w:tc>
          <w:tcPr>
            <w:tcW w:w="3397"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cs="宋体" w:eastAsiaTheme="minorHAnsi"/>
                <w:kern w:val="0"/>
                <w:sz w:val="20"/>
                <w:szCs w:val="20"/>
              </w:rPr>
            </w:pPr>
            <w:r>
              <w:rPr>
                <w:rFonts w:hint="eastAsia" w:cs="宋体" w:eastAsiaTheme="minorHAnsi"/>
                <w:kern w:val="0"/>
                <w:sz w:val="20"/>
                <w:szCs w:val="20"/>
              </w:rPr>
              <w:t>纵向回缩率（110℃）</w:t>
            </w:r>
          </w:p>
        </w:tc>
        <w:tc>
          <w:tcPr>
            <w:tcW w:w="31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eastAsiaTheme="minorHAnsi"/>
                <w:kern w:val="0"/>
                <w:sz w:val="20"/>
                <w:szCs w:val="20"/>
              </w:rPr>
            </w:pPr>
            <w:r>
              <w:rPr>
                <w:rFonts w:hint="eastAsia" w:cs="宋体" w:eastAsiaTheme="minorHAnsi"/>
                <w:kern w:val="0"/>
                <w:sz w:val="20"/>
                <w:szCs w:val="20"/>
              </w:rPr>
              <w:t>≤3%</w:t>
            </w:r>
          </w:p>
        </w:tc>
      </w:tr>
      <w:tr>
        <w:tblPrEx>
          <w:tblCellMar>
            <w:top w:w="0" w:type="dxa"/>
            <w:left w:w="108" w:type="dxa"/>
            <w:bottom w:w="0" w:type="dxa"/>
            <w:right w:w="108" w:type="dxa"/>
          </w:tblCellMar>
        </w:tblPrEx>
        <w:trPr>
          <w:trHeight w:val="390" w:hRule="atLeast"/>
          <w:jc w:val="center"/>
        </w:trPr>
        <w:tc>
          <w:tcPr>
            <w:tcW w:w="33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宋体" w:eastAsiaTheme="minorHAnsi"/>
                <w:kern w:val="0"/>
                <w:sz w:val="20"/>
                <w:szCs w:val="20"/>
              </w:rPr>
            </w:pPr>
            <w:r>
              <w:rPr>
                <w:rFonts w:hint="eastAsia" w:cs="宋体" w:eastAsiaTheme="minorHAnsi"/>
                <w:kern w:val="0"/>
                <w:sz w:val="20"/>
                <w:szCs w:val="20"/>
              </w:rPr>
              <w:t>管材的静液压强度：80℃（1000h）</w:t>
            </w:r>
          </w:p>
        </w:tc>
        <w:tc>
          <w:tcPr>
            <w:tcW w:w="3119" w:type="dxa"/>
            <w:tcBorders>
              <w:top w:val="single" w:color="auto" w:sz="4" w:space="0"/>
              <w:left w:val="nil"/>
              <w:bottom w:val="single" w:color="auto" w:sz="4" w:space="0"/>
              <w:right w:val="single" w:color="000000" w:sz="4" w:space="0"/>
            </w:tcBorders>
            <w:shd w:val="clear" w:color="auto" w:fill="auto"/>
            <w:vAlign w:val="center"/>
          </w:tcPr>
          <w:p>
            <w:pPr>
              <w:widowControl/>
              <w:jc w:val="center"/>
              <w:rPr>
                <w:rFonts w:cs="宋体" w:eastAsiaTheme="minorHAnsi"/>
                <w:kern w:val="0"/>
                <w:sz w:val="20"/>
                <w:szCs w:val="20"/>
              </w:rPr>
            </w:pPr>
            <w:r>
              <w:rPr>
                <w:rFonts w:hint="eastAsia" w:cs="宋体" w:eastAsiaTheme="minorHAnsi"/>
                <w:kern w:val="0"/>
                <w:sz w:val="20"/>
                <w:szCs w:val="20"/>
              </w:rPr>
              <w:t>环向应力5.0MPa，要求不渗漏</w:t>
            </w:r>
          </w:p>
        </w:tc>
      </w:tr>
    </w:tbl>
    <w:p>
      <w:pPr>
        <w:pStyle w:val="5"/>
        <w:numPr>
          <w:ilvl w:val="0"/>
          <w:numId w:val="5"/>
        </w:numPr>
        <w:ind w:firstLineChars="0"/>
      </w:pPr>
      <w:r>
        <w:rPr>
          <w:rFonts w:hint="eastAsia"/>
        </w:rPr>
        <w:t>聚乙烯原料加工使用要求：采用</w:t>
      </w:r>
      <w:r>
        <w:t>PE100级</w:t>
      </w:r>
      <w:r>
        <w:rPr>
          <w:rFonts w:hint="eastAsia"/>
        </w:rPr>
        <w:t>混配</w:t>
      </w:r>
      <w:r>
        <w:t>料，</w:t>
      </w:r>
      <w:r>
        <w:rPr>
          <w:rFonts w:hint="eastAsia"/>
        </w:rPr>
        <w:t>混配料应符合GB/</w:t>
      </w:r>
      <w:r>
        <w:t>T13663.1-2017</w:t>
      </w:r>
      <w:r>
        <w:rPr>
          <w:rFonts w:hint="eastAsia"/>
        </w:rPr>
        <w:t>；</w:t>
      </w:r>
      <w:r>
        <w:t>不允许添加回用料。</w:t>
      </w:r>
    </w:p>
    <w:p>
      <w:pPr>
        <w:pStyle w:val="5"/>
        <w:numPr>
          <w:ilvl w:val="0"/>
          <w:numId w:val="5"/>
        </w:numPr>
        <w:ind w:firstLineChars="0"/>
      </w:pPr>
      <w:r>
        <w:t>聚乙烯管材</w:t>
      </w:r>
      <w:r>
        <w:rPr>
          <w:rFonts w:hint="eastAsia"/>
        </w:rPr>
        <w:t>外观要求：</w:t>
      </w:r>
    </w:p>
    <w:p>
      <w:pPr>
        <w:pStyle w:val="5"/>
        <w:numPr>
          <w:ilvl w:val="0"/>
          <w:numId w:val="6"/>
        </w:numPr>
        <w:ind w:firstLineChars="0"/>
      </w:pPr>
      <w:r>
        <w:t>聚乙烯管材</w:t>
      </w:r>
      <w:r>
        <w:rPr>
          <w:rFonts w:hint="eastAsia"/>
        </w:rPr>
        <w:t>表面不允许有气泡、裂纹、凹陷、杂质、颜色不均等缺陷</w:t>
      </w:r>
    </w:p>
    <w:p>
      <w:pPr>
        <w:pStyle w:val="5"/>
        <w:numPr>
          <w:ilvl w:val="0"/>
          <w:numId w:val="6"/>
        </w:numPr>
        <w:ind w:firstLineChars="0"/>
      </w:pPr>
      <w:r>
        <w:rPr>
          <w:rFonts w:hint="eastAsia"/>
        </w:rPr>
        <w:t>管端要求：管端头应切割平整，并与管轴线垂直</w:t>
      </w:r>
    </w:p>
    <w:p>
      <w:pPr>
        <w:pStyle w:val="5"/>
        <w:numPr>
          <w:ilvl w:val="0"/>
          <w:numId w:val="6"/>
        </w:numPr>
        <w:ind w:firstLineChars="0"/>
      </w:pPr>
      <w:r>
        <w:rPr>
          <w:rFonts w:hint="eastAsia"/>
        </w:rPr>
        <w:t>管材应为黑色，通体共挤出至少三条蓝色条，色条应沿管材圆周方向均匀分布。</w:t>
      </w:r>
    </w:p>
    <w:p>
      <w:pPr>
        <w:pStyle w:val="5"/>
        <w:numPr>
          <w:ilvl w:val="0"/>
          <w:numId w:val="5"/>
        </w:numPr>
        <w:ind w:firstLineChars="0"/>
      </w:pPr>
      <w:r>
        <w:rPr>
          <w:rFonts w:hint="eastAsia"/>
        </w:rPr>
        <w:t>本技术协议未列项目，执行</w:t>
      </w:r>
      <w:r>
        <w:t>GB/T13663标准中的技术要求。</w:t>
      </w:r>
    </w:p>
    <w:p>
      <w:pPr>
        <w:pStyle w:val="5"/>
        <w:ind w:left="945" w:firstLine="0" w:firstLineChars="0"/>
      </w:pPr>
    </w:p>
    <w:p>
      <w:pPr>
        <w:pStyle w:val="5"/>
        <w:numPr>
          <w:ilvl w:val="0"/>
          <w:numId w:val="0"/>
        </w:numPr>
        <w:ind w:leftChars="0" w:firstLine="1050" w:firstLineChars="500"/>
      </w:pPr>
      <w:r>
        <w:t>聚乙烯管材质量要求</w:t>
      </w:r>
    </w:p>
    <w:p>
      <w:pPr>
        <w:pStyle w:val="5"/>
        <w:ind w:left="525" w:firstLine="0" w:firstLineChars="0"/>
      </w:pPr>
      <w:r>
        <w:rPr>
          <w:rFonts w:hint="eastAsia"/>
        </w:rPr>
        <w:t>长度偏差</w:t>
      </w:r>
      <w:r>
        <w:t>L     -0.2%~0.4%</w:t>
      </w:r>
    </w:p>
    <w:p>
      <w:pPr>
        <w:pStyle w:val="5"/>
        <w:ind w:left="525" w:firstLine="0" w:firstLineChars="0"/>
      </w:pPr>
      <w:r>
        <w:rPr>
          <w:rFonts w:hint="eastAsia"/>
        </w:rPr>
        <w:t>壁厚及外径偏差和管材长度：</w:t>
      </w:r>
      <w:r>
        <w:t>(见附表)</w:t>
      </w:r>
    </w:p>
    <w:p>
      <w:pPr>
        <w:pStyle w:val="5"/>
        <w:ind w:left="525" w:firstLine="0" w:firstLineChars="0"/>
      </w:pPr>
    </w:p>
    <w:p>
      <w:pPr>
        <w:pStyle w:val="5"/>
        <w:numPr>
          <w:ilvl w:val="0"/>
          <w:numId w:val="0"/>
        </w:numPr>
        <w:ind w:firstLine="630" w:firstLineChars="300"/>
      </w:pPr>
      <w:r>
        <w:t>聚乙烯管材</w:t>
      </w:r>
      <w:r>
        <w:rPr>
          <w:rFonts w:hint="eastAsia"/>
        </w:rPr>
        <w:t>标识及要求：符合GB/</w:t>
      </w:r>
      <w:r>
        <w:t>T13663.2-2018</w:t>
      </w:r>
      <w:r>
        <w:rPr>
          <w:rFonts w:hint="eastAsia"/>
        </w:rPr>
        <w:t>标准中第9款的规定</w:t>
      </w:r>
    </w:p>
    <w:p>
      <w:pPr>
        <w:pStyle w:val="5"/>
        <w:numPr>
          <w:ilvl w:val="0"/>
          <w:numId w:val="7"/>
        </w:numPr>
        <w:ind w:left="525" w:firstLine="0" w:firstLineChars="0"/>
      </w:pPr>
      <w:r>
        <w:rPr>
          <w:rFonts w:hint="eastAsia"/>
        </w:rPr>
        <w:t>每根管材须在其中一端贴制造商的合格证；</w:t>
      </w:r>
    </w:p>
    <w:p>
      <w:pPr>
        <w:pStyle w:val="5"/>
        <w:numPr>
          <w:ilvl w:val="0"/>
          <w:numId w:val="7"/>
        </w:numPr>
        <w:ind w:left="525" w:firstLine="0" w:firstLineChars="0"/>
      </w:pPr>
      <w:r>
        <w:rPr>
          <w:rFonts w:hint="eastAsia"/>
        </w:rPr>
        <w:t>管身激光标识示例：</w:t>
      </w:r>
    </w:p>
    <w:p>
      <w:pPr>
        <w:pStyle w:val="5"/>
        <w:ind w:left="525" w:firstLine="0" w:firstLineChars="0"/>
      </w:pPr>
      <w:r>
        <w:rPr>
          <w:rFonts w:hint="eastAsia"/>
          <w:highlight w:val="yellow"/>
        </w:rPr>
        <w:t>“制造商 water</w:t>
      </w:r>
      <w:r>
        <w:rPr>
          <w:highlight w:val="yellow"/>
        </w:rPr>
        <w:t xml:space="preserve"> 500</w:t>
      </w:r>
      <w:r>
        <w:rPr>
          <w:rFonts w:eastAsiaTheme="minorHAnsi"/>
          <w:highlight w:val="yellow"/>
        </w:rPr>
        <w:t>ⅹ</w:t>
      </w:r>
      <w:r>
        <w:rPr>
          <w:highlight w:val="yellow"/>
        </w:rPr>
        <w:t xml:space="preserve">29.7 </w:t>
      </w:r>
      <w:r>
        <w:rPr>
          <w:rFonts w:hint="eastAsia"/>
          <w:highlight w:val="yellow"/>
        </w:rPr>
        <w:t>SDR</w:t>
      </w:r>
      <w:r>
        <w:rPr>
          <w:highlight w:val="yellow"/>
        </w:rPr>
        <w:t xml:space="preserve">17 </w:t>
      </w:r>
      <w:r>
        <w:rPr>
          <w:rFonts w:hint="eastAsia"/>
          <w:highlight w:val="yellow"/>
        </w:rPr>
        <w:t>PN</w:t>
      </w:r>
      <w:r>
        <w:rPr>
          <w:highlight w:val="yellow"/>
        </w:rPr>
        <w:t>1.0</w:t>
      </w:r>
      <w:r>
        <w:rPr>
          <w:rFonts w:hint="eastAsia"/>
          <w:highlight w:val="yellow"/>
        </w:rPr>
        <w:t>MPa</w:t>
      </w:r>
      <w:r>
        <w:rPr>
          <w:highlight w:val="yellow"/>
        </w:rPr>
        <w:t xml:space="preserve"> PE100 BP191120 </w:t>
      </w:r>
      <w:r>
        <w:rPr>
          <w:rFonts w:hint="eastAsia"/>
          <w:highlight w:val="yellow"/>
        </w:rPr>
        <w:t>产地</w:t>
      </w:r>
      <w:r>
        <w:rPr>
          <w:highlight w:val="yellow"/>
        </w:rPr>
        <w:t xml:space="preserve"> GB/T13663.2  20</w:t>
      </w:r>
      <w:r>
        <w:rPr>
          <w:rFonts w:hint="eastAsia"/>
          <w:highlight w:val="yellow"/>
        </w:rPr>
        <w:t>23</w:t>
      </w:r>
      <w:r>
        <w:rPr>
          <w:highlight w:val="yellow"/>
        </w:rPr>
        <w:t>/</w:t>
      </w:r>
      <w:r>
        <w:rPr>
          <w:rFonts w:hint="eastAsia"/>
          <w:highlight w:val="yellow"/>
        </w:rPr>
        <w:t>09</w:t>
      </w:r>
      <w:r>
        <w:rPr>
          <w:highlight w:val="yellow"/>
        </w:rPr>
        <w:t>/</w:t>
      </w:r>
      <w:r>
        <w:rPr>
          <w:rFonts w:hint="eastAsia"/>
          <w:highlight w:val="yellow"/>
        </w:rPr>
        <w:t>04</w:t>
      </w:r>
      <w:r>
        <w:rPr>
          <w:highlight w:val="yellow"/>
        </w:rPr>
        <w:t xml:space="preserve"> 12:00:00 ”</w:t>
      </w:r>
    </w:p>
    <w:p>
      <w:pPr>
        <w:pStyle w:val="5"/>
        <w:ind w:left="525" w:firstLine="0" w:firstLineChars="0"/>
      </w:pPr>
      <w:r>
        <w:rPr>
          <w:rFonts w:hint="eastAsia"/>
        </w:rPr>
        <w:t>示例中的“BP</w:t>
      </w:r>
      <w:r>
        <w:t>191120</w:t>
      </w:r>
      <w:r>
        <w:rPr>
          <w:rFonts w:hint="eastAsia"/>
        </w:rPr>
        <w:t>“代表生产批号，</w:t>
      </w:r>
      <w:r>
        <w:rPr>
          <w:rFonts w:hint="eastAsia"/>
          <w:highlight w:val="yellow"/>
        </w:rPr>
        <w:t>每七天更换新的批号</w:t>
      </w:r>
      <w:r>
        <w:rPr>
          <w:rFonts w:hint="eastAsia"/>
        </w:rPr>
        <w:t>，批号按照当天的日期编写。</w:t>
      </w:r>
    </w:p>
    <w:p>
      <w:pPr>
        <w:pStyle w:val="5"/>
        <w:ind w:left="525" w:firstLine="0" w:firstLineChars="0"/>
      </w:pPr>
    </w:p>
    <w:p>
      <w:pPr>
        <w:pStyle w:val="5"/>
        <w:numPr>
          <w:ilvl w:val="0"/>
          <w:numId w:val="0"/>
        </w:numPr>
        <w:ind w:leftChars="0" w:firstLine="420" w:firstLineChars="200"/>
      </w:pPr>
      <w:r>
        <w:rPr>
          <w:rFonts w:hint="eastAsia"/>
        </w:rPr>
        <w:t>需方有权不定期在供方工厂采集合同产品的样品。样品在供方生产现场由供需双方人员共同监视下生产截取一式两份双方各保存一份。</w:t>
      </w:r>
    </w:p>
    <w:p>
      <w:pPr>
        <w:pStyle w:val="5"/>
        <w:ind w:left="525" w:firstLine="0" w:firstLineChars="0"/>
      </w:pPr>
    </w:p>
    <w:p>
      <w:pPr>
        <w:pStyle w:val="5"/>
        <w:numPr>
          <w:ilvl w:val="0"/>
          <w:numId w:val="0"/>
        </w:numPr>
        <w:ind w:leftChars="0" w:firstLine="420" w:firstLineChars="200"/>
      </w:pPr>
      <w:r>
        <w:rPr>
          <w:rFonts w:hint="eastAsia"/>
        </w:rPr>
        <w:t>质保资料：</w:t>
      </w:r>
    </w:p>
    <w:p>
      <w:pPr>
        <w:pStyle w:val="5"/>
        <w:numPr>
          <w:ilvl w:val="0"/>
          <w:numId w:val="8"/>
        </w:numPr>
        <w:ind w:firstLineChars="0"/>
      </w:pPr>
      <w:r>
        <w:rPr>
          <w:rFonts w:hint="eastAsia"/>
        </w:rPr>
        <w:t>管材生产前制造商需将聚乙烯原料的材质证明资料扫描件提供给甲方留存。</w:t>
      </w:r>
    </w:p>
    <w:p>
      <w:pPr>
        <w:pStyle w:val="5"/>
        <w:numPr>
          <w:ilvl w:val="0"/>
          <w:numId w:val="8"/>
        </w:numPr>
        <w:ind w:firstLineChars="0"/>
      </w:pPr>
      <w:r>
        <w:rPr>
          <w:rFonts w:hint="eastAsia"/>
        </w:rPr>
        <w:t>发货时随车带的资料</w:t>
      </w:r>
      <w:r>
        <w:rPr>
          <w:rFonts w:hint="eastAsia"/>
          <w:highlight w:val="yellow"/>
        </w:rPr>
        <w:t>必需包括</w:t>
      </w:r>
      <w:r>
        <w:rPr>
          <w:rFonts w:hint="eastAsia"/>
        </w:rPr>
        <w:t>（不限于）如下材料：</w:t>
      </w:r>
    </w:p>
    <w:p>
      <w:pPr>
        <w:pStyle w:val="5"/>
        <w:ind w:left="945" w:firstLine="0" w:firstLineChars="0"/>
      </w:pPr>
      <w:r>
        <w:rPr>
          <w:rFonts w:hint="eastAsia"/>
        </w:rPr>
        <w:t>产品合格证，该批次产品的出厂检测报告，企业资质证明（营业执照、有效期内的卫生许可批件等），涵盖所供管材的型式检验报告。</w:t>
      </w:r>
    </w:p>
    <w:p>
      <w:pPr>
        <w:pStyle w:val="5"/>
        <w:ind w:left="945" w:firstLine="0" w:firstLineChars="0"/>
      </w:pPr>
      <w:r>
        <w:rPr>
          <w:rFonts w:hint="eastAsia"/>
          <w:highlight w:val="yellow"/>
        </w:rPr>
        <w:t>说明：如发货时出厂检测报告中的静液压项目尚不能出具结果，则该项检测可先不填写数据</w:t>
      </w:r>
    </w:p>
    <w:p>
      <w:pPr>
        <w:pStyle w:val="5"/>
        <w:numPr>
          <w:ilvl w:val="0"/>
          <w:numId w:val="8"/>
        </w:numPr>
        <w:ind w:firstLineChars="0"/>
      </w:pPr>
      <w:r>
        <w:rPr>
          <w:rFonts w:hint="eastAsia"/>
        </w:rPr>
        <w:t>本次订单完成后，供货方需将上述完整资料准备两份交给需方留存。</w:t>
      </w:r>
    </w:p>
    <w:p>
      <w:pPr>
        <w:widowControl/>
        <w:jc w:val="left"/>
      </w:pPr>
    </w:p>
    <w:p>
      <w:pPr>
        <w:pStyle w:val="5"/>
        <w:ind w:firstLine="0" w:firstLineChars="0"/>
        <w:rPr>
          <w:sz w:val="24"/>
          <w:szCs w:val="28"/>
        </w:rPr>
      </w:pPr>
      <w:r>
        <w:rPr>
          <w:rFonts w:hint="eastAsia"/>
          <w:sz w:val="24"/>
          <w:szCs w:val="28"/>
        </w:rPr>
        <w:t>附表：壁厚及外径偏差和管材长度</w:t>
      </w:r>
    </w:p>
    <w:tbl>
      <w:tblPr>
        <w:tblStyle w:val="3"/>
        <w:tblW w:w="8605" w:type="dxa"/>
        <w:jc w:val="center"/>
        <w:tblLayout w:type="autofit"/>
        <w:tblCellMar>
          <w:top w:w="0" w:type="dxa"/>
          <w:left w:w="108" w:type="dxa"/>
          <w:bottom w:w="0" w:type="dxa"/>
          <w:right w:w="108" w:type="dxa"/>
        </w:tblCellMar>
      </w:tblPr>
      <w:tblGrid>
        <w:gridCol w:w="1696"/>
        <w:gridCol w:w="1276"/>
        <w:gridCol w:w="1559"/>
        <w:gridCol w:w="1276"/>
        <w:gridCol w:w="1418"/>
        <w:gridCol w:w="1380"/>
      </w:tblGrid>
      <w:tr>
        <w:tblPrEx>
          <w:tblCellMar>
            <w:top w:w="0" w:type="dxa"/>
            <w:left w:w="108" w:type="dxa"/>
            <w:bottom w:w="0" w:type="dxa"/>
            <w:right w:w="108" w:type="dxa"/>
          </w:tblCellMar>
        </w:tblPrEx>
        <w:trPr>
          <w:trHeight w:val="776"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eastAsia="宋体" w:cs="Arial"/>
                <w:kern w:val="0"/>
                <w:szCs w:val="21"/>
              </w:rPr>
            </w:pPr>
            <w:r>
              <w:rPr>
                <w:rFonts w:hint="eastAsia" w:ascii="Arial" w:hAnsi="Arial" w:eastAsia="宋体" w:cs="Arial"/>
                <w:kern w:val="0"/>
                <w:szCs w:val="21"/>
              </w:rPr>
              <w:t>公称外径</w:t>
            </w:r>
            <w:r>
              <w:rPr>
                <w:rFonts w:ascii="Arial" w:hAnsi="Arial" w:eastAsia="宋体" w:cs="Arial"/>
                <w:kern w:val="0"/>
                <w:szCs w:val="21"/>
              </w:rPr>
              <w:t>（mm）</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eastAsia="宋体" w:cs="Arial"/>
                <w:kern w:val="0"/>
                <w:szCs w:val="21"/>
              </w:rPr>
            </w:pPr>
            <w:r>
              <w:rPr>
                <w:rFonts w:ascii="Arial" w:hAnsi="Arial" w:eastAsia="宋体" w:cs="Arial"/>
                <w:kern w:val="0"/>
                <w:szCs w:val="21"/>
              </w:rPr>
              <w:t>壁厚偏差（mm）</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eastAsia="宋体" w:cs="Arial"/>
                <w:kern w:val="0"/>
                <w:szCs w:val="21"/>
              </w:rPr>
            </w:pPr>
            <w:r>
              <w:rPr>
                <w:rFonts w:ascii="Arial" w:hAnsi="Arial" w:eastAsia="宋体" w:cs="Arial"/>
                <w:kern w:val="0"/>
                <w:szCs w:val="21"/>
              </w:rPr>
              <w:t>平均外径（mm）</w:t>
            </w:r>
          </w:p>
        </w:tc>
        <w:tc>
          <w:tcPr>
            <w:tcW w:w="1276" w:type="dxa"/>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Arial" w:hAnsi="Arial" w:eastAsia="宋体" w:cs="Arial"/>
                <w:kern w:val="0"/>
                <w:szCs w:val="21"/>
              </w:rPr>
            </w:pPr>
            <w:r>
              <w:rPr>
                <w:rFonts w:ascii="Arial" w:hAnsi="Arial" w:eastAsia="宋体" w:cs="Arial"/>
                <w:kern w:val="0"/>
                <w:szCs w:val="21"/>
              </w:rPr>
              <w:t>径厚比</w:t>
            </w:r>
          </w:p>
        </w:tc>
        <w:tc>
          <w:tcPr>
            <w:tcW w:w="141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eastAsia="宋体" w:cs="Arial"/>
                <w:kern w:val="0"/>
                <w:szCs w:val="21"/>
              </w:rPr>
            </w:pPr>
            <w:r>
              <w:rPr>
                <w:rFonts w:ascii="Arial" w:hAnsi="Arial" w:eastAsia="宋体" w:cs="Arial"/>
                <w:kern w:val="0"/>
                <w:szCs w:val="21"/>
              </w:rPr>
              <w:t>管材长度（m/根）</w:t>
            </w:r>
          </w:p>
        </w:tc>
        <w:tc>
          <w:tcPr>
            <w:tcW w:w="13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eastAsia="宋体" w:cs="Arial"/>
                <w:kern w:val="0"/>
                <w:szCs w:val="21"/>
              </w:rPr>
            </w:pPr>
            <w:r>
              <w:rPr>
                <w:rFonts w:ascii="Arial" w:hAnsi="Arial" w:eastAsia="宋体" w:cs="Arial"/>
                <w:kern w:val="0"/>
                <w:szCs w:val="21"/>
              </w:rPr>
              <w:t>数量（根）</w:t>
            </w:r>
          </w:p>
        </w:tc>
      </w:tr>
      <w:tr>
        <w:tblPrEx>
          <w:tblCellMar>
            <w:top w:w="0" w:type="dxa"/>
            <w:left w:w="108" w:type="dxa"/>
            <w:bottom w:w="0" w:type="dxa"/>
            <w:right w:w="108" w:type="dxa"/>
          </w:tblCellMar>
        </w:tblPrEx>
        <w:trPr>
          <w:trHeight w:val="555"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eastAsia="宋体" w:cs="Arial"/>
                <w:kern w:val="0"/>
                <w:szCs w:val="21"/>
              </w:rPr>
            </w:pPr>
            <w:r>
              <w:rPr>
                <w:rFonts w:hint="eastAsia" w:ascii="Arial" w:hAnsi="Arial" w:eastAsia="宋体" w:cs="Arial"/>
                <w:kern w:val="0"/>
                <w:szCs w:val="21"/>
              </w:rPr>
              <w:t>200*11.9</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Arial" w:hAnsi="Arial" w:eastAsia="宋体" w:cs="Arial"/>
                <w:kern w:val="0"/>
                <w:szCs w:val="21"/>
              </w:rPr>
            </w:pPr>
            <w:r>
              <w:rPr>
                <w:rFonts w:hint="eastAsia" w:ascii="Arial" w:hAnsi="Arial" w:eastAsia="宋体" w:cs="Arial"/>
                <w:kern w:val="0"/>
                <w:szCs w:val="21"/>
              </w:rPr>
              <w:t>1.3</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Arial" w:hAnsi="Arial" w:eastAsia="宋体" w:cs="Arial"/>
                <w:kern w:val="0"/>
                <w:szCs w:val="21"/>
              </w:rPr>
            </w:pPr>
            <w:r>
              <w:rPr>
                <w:rFonts w:hint="eastAsia" w:ascii="Arial" w:hAnsi="Arial" w:eastAsia="宋体" w:cs="Arial"/>
                <w:kern w:val="0"/>
                <w:szCs w:val="21"/>
              </w:rPr>
              <w:t>200-201.2</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eastAsia="宋体" w:cs="Arial"/>
                <w:kern w:val="0"/>
                <w:szCs w:val="21"/>
              </w:rPr>
            </w:pPr>
            <w:r>
              <w:rPr>
                <w:rFonts w:ascii="Arial" w:hAnsi="Arial" w:eastAsia="宋体" w:cs="Arial"/>
                <w:kern w:val="0"/>
                <w:szCs w:val="21"/>
              </w:rPr>
              <w:t>SDR</w:t>
            </w:r>
            <w:r>
              <w:rPr>
                <w:rFonts w:hint="eastAsia" w:ascii="Arial" w:hAnsi="Arial" w:eastAsia="宋体" w:cs="Arial"/>
                <w:kern w:val="0"/>
                <w:szCs w:val="21"/>
              </w:rPr>
              <w:t>17</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eastAsia="宋体" w:cs="Arial"/>
                <w:kern w:val="0"/>
                <w:szCs w:val="21"/>
              </w:rPr>
            </w:pPr>
            <w:r>
              <w:rPr>
                <w:rFonts w:hint="eastAsia" w:ascii="Arial" w:hAnsi="Arial" w:eastAsia="宋体" w:cs="Arial"/>
                <w:kern w:val="0"/>
                <w:szCs w:val="21"/>
              </w:rPr>
              <w:t>6</w:t>
            </w:r>
          </w:p>
        </w:tc>
        <w:tc>
          <w:tcPr>
            <w:tcW w:w="13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w:hAnsi="Arial" w:eastAsia="宋体" w:cs="Arial"/>
                <w:kern w:val="0"/>
                <w:szCs w:val="21"/>
              </w:rPr>
            </w:pPr>
            <w:r>
              <w:rPr>
                <w:rFonts w:hint="eastAsia" w:ascii="Arial" w:hAnsi="Arial" w:eastAsia="宋体" w:cs="Arial"/>
                <w:kern w:val="0"/>
                <w:szCs w:val="21"/>
              </w:rPr>
              <w:t>1000</w:t>
            </w:r>
          </w:p>
        </w:tc>
      </w:tr>
      <w:tr>
        <w:tblPrEx>
          <w:tblCellMar>
            <w:top w:w="0" w:type="dxa"/>
            <w:left w:w="108" w:type="dxa"/>
            <w:bottom w:w="0" w:type="dxa"/>
            <w:right w:w="108" w:type="dxa"/>
          </w:tblCellMar>
        </w:tblPrEx>
        <w:trPr>
          <w:trHeight w:val="555"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eastAsia="宋体" w:cs="Arial"/>
                <w:kern w:val="0"/>
                <w:szCs w:val="21"/>
              </w:rPr>
            </w:pPr>
            <w:r>
              <w:rPr>
                <w:rFonts w:ascii="Arial" w:hAnsi="Arial" w:eastAsia="宋体" w:cs="Arial"/>
                <w:kern w:val="0"/>
                <w:szCs w:val="21"/>
              </w:rPr>
              <w:t>Ф</w:t>
            </w:r>
            <w:r>
              <w:rPr>
                <w:rFonts w:hint="eastAsia" w:ascii="Arial" w:hAnsi="Arial" w:eastAsia="宋体" w:cs="Arial"/>
                <w:kern w:val="0"/>
                <w:szCs w:val="21"/>
              </w:rPr>
              <w:t>63*3.8</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Arial" w:hAnsi="Arial" w:eastAsia="宋体" w:cs="Arial"/>
                <w:kern w:val="0"/>
                <w:szCs w:val="21"/>
              </w:rPr>
            </w:pPr>
            <w:r>
              <w:rPr>
                <w:rFonts w:hint="eastAsia" w:ascii="Arial" w:hAnsi="Arial" w:eastAsia="宋体" w:cs="Arial"/>
                <w:kern w:val="0"/>
                <w:szCs w:val="21"/>
              </w:rPr>
              <w:t>0.5</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Arial" w:hAnsi="Arial" w:eastAsia="宋体" w:cs="Arial"/>
                <w:kern w:val="0"/>
                <w:szCs w:val="21"/>
              </w:rPr>
            </w:pPr>
            <w:r>
              <w:rPr>
                <w:rFonts w:hint="eastAsia" w:ascii="Arial" w:hAnsi="Arial" w:eastAsia="宋体" w:cs="Arial"/>
                <w:kern w:val="0"/>
                <w:szCs w:val="21"/>
              </w:rPr>
              <w:t>63-63.4</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w:hAnsi="Arial" w:eastAsia="宋体" w:cs="Arial"/>
                <w:kern w:val="0"/>
                <w:szCs w:val="21"/>
              </w:rPr>
            </w:pPr>
            <w:r>
              <w:rPr>
                <w:rFonts w:ascii="Arial" w:hAnsi="Arial" w:eastAsia="宋体" w:cs="Arial"/>
                <w:kern w:val="0"/>
                <w:szCs w:val="21"/>
              </w:rPr>
              <w:t>SDR</w:t>
            </w:r>
            <w:r>
              <w:rPr>
                <w:rFonts w:hint="eastAsia" w:ascii="Arial" w:hAnsi="Arial" w:eastAsia="宋体" w:cs="Arial"/>
                <w:kern w:val="0"/>
                <w:szCs w:val="21"/>
              </w:rPr>
              <w:t>17</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w:hAnsi="Arial" w:eastAsia="宋体" w:cs="Arial"/>
                <w:kern w:val="0"/>
                <w:szCs w:val="21"/>
              </w:rPr>
            </w:pPr>
            <w:r>
              <w:rPr>
                <w:rFonts w:hint="eastAsia" w:ascii="Arial" w:hAnsi="Arial" w:eastAsia="宋体" w:cs="Arial"/>
                <w:kern w:val="0"/>
                <w:szCs w:val="21"/>
              </w:rPr>
              <w:t>6</w:t>
            </w:r>
          </w:p>
        </w:tc>
        <w:tc>
          <w:tcPr>
            <w:tcW w:w="13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w:hAnsi="Arial" w:eastAsia="宋体" w:cs="Arial"/>
                <w:kern w:val="0"/>
                <w:szCs w:val="21"/>
              </w:rPr>
            </w:pPr>
            <w:r>
              <w:rPr>
                <w:rFonts w:hint="eastAsia" w:ascii="Arial" w:hAnsi="Arial" w:eastAsia="宋体" w:cs="Arial"/>
                <w:kern w:val="0"/>
                <w:szCs w:val="21"/>
              </w:rPr>
              <w:t>500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851" w:leftChars="0" w:hanging="397" w:firstLineChars="0"/>
        <w:textAlignment w:val="auto"/>
        <w:rPr>
          <w:sz w:val="24"/>
        </w:rPr>
      </w:pPr>
      <w:r>
        <w:rPr>
          <w:rFonts w:hint="eastAsia" w:ascii="Times New Roman" w:hAnsi="Times New Roman" w:eastAsia="宋体" w:cs="Times New Roman"/>
          <w:b w:val="0"/>
          <w:kern w:val="2"/>
          <w:sz w:val="24"/>
          <w:szCs w:val="24"/>
          <w:lang w:val="en-US" w:eastAsia="zh-CN" w:bidi="ar-SA"/>
        </w:rPr>
        <w:t>3、</w:t>
      </w:r>
      <w:r>
        <w:rPr>
          <w:rFonts w:hint="eastAsia"/>
          <w:sz w:val="24"/>
        </w:rPr>
        <w:t>计量方式：</w:t>
      </w:r>
      <w:r>
        <w:rPr>
          <w:rFonts w:hint="eastAsia"/>
          <w:sz w:val="24"/>
          <w:lang w:val="en-US" w:eastAsia="zh-CN"/>
        </w:rPr>
        <w:t>PE管材按米</w:t>
      </w:r>
      <w:r>
        <w:rPr>
          <w:rFonts w:hint="eastAsia"/>
          <w:sz w:val="24"/>
        </w:rPr>
        <w:t>计算。</w:t>
      </w: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480" w:firstLineChars="200"/>
        <w:textAlignment w:val="auto"/>
        <w:rPr>
          <w:rFonts w:hint="eastAsia" w:ascii="Times New Roman" w:hAnsi="Times New Roman" w:eastAsia="宋体" w:cs="Times New Roman"/>
          <w:b w:val="0"/>
          <w:kern w:val="2"/>
          <w:sz w:val="24"/>
          <w:szCs w:val="24"/>
          <w:lang w:val="en-US" w:eastAsia="zh-CN" w:bidi="ar-SA"/>
        </w:rPr>
      </w:pPr>
      <w:r>
        <w:rPr>
          <w:rFonts w:hint="eastAsia" w:ascii="Times New Roman" w:hAnsi="Times New Roman" w:eastAsia="宋体" w:cs="Times New Roman"/>
          <w:b w:val="0"/>
          <w:kern w:val="2"/>
          <w:sz w:val="24"/>
          <w:szCs w:val="24"/>
          <w:lang w:val="en-US" w:eastAsia="zh-CN" w:bidi="ar-SA"/>
        </w:rPr>
        <w:t>4、付款方式：付款方式电汇或承兑结算，货物供齐后据实结算，货物供齐，押款3个月。</w:t>
      </w: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851" w:leftChars="0" w:hanging="397" w:firstLineChars="0"/>
        <w:textAlignment w:val="auto"/>
        <w:rPr>
          <w:rFonts w:ascii="宋体" w:hAnsi="宋体" w:cs="宋体"/>
          <w:b/>
          <w:color w:val="000000"/>
          <w:kern w:val="0"/>
          <w:sz w:val="24"/>
        </w:rPr>
      </w:pPr>
      <w:r>
        <w:rPr>
          <w:rFonts w:hint="eastAsia" w:ascii="宋体" w:hAnsi="宋体" w:eastAsia="宋体" w:cs="宋体"/>
          <w:b w:val="0"/>
          <w:color w:val="000000"/>
          <w:kern w:val="0"/>
          <w:sz w:val="24"/>
          <w:szCs w:val="24"/>
          <w:lang w:val="en-US" w:eastAsia="zh-CN" w:bidi="ar-SA"/>
        </w:rPr>
        <w:t>5、</w:t>
      </w:r>
      <w:r>
        <w:rPr>
          <w:rFonts w:hint="eastAsia"/>
          <w:color w:val="000000"/>
          <w:sz w:val="24"/>
        </w:rPr>
        <w:t>交货期限：接到</w:t>
      </w:r>
      <w:r>
        <w:rPr>
          <w:rFonts w:hint="eastAsia"/>
          <w:sz w:val="24"/>
        </w:rPr>
        <w:t>甲方通知后，3天具备供货条件</w:t>
      </w:r>
      <w:r>
        <w:rPr>
          <w:rFonts w:hint="eastAsia" w:ascii="宋体" w:hAnsi="宋体" w:cs="宋体"/>
          <w:color w:val="000000"/>
          <w:kern w:val="0"/>
          <w:sz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851" w:leftChars="0" w:hanging="397" w:firstLineChars="0"/>
        <w:textAlignment w:val="auto"/>
        <w:rPr>
          <w:color w:val="000000"/>
          <w:sz w:val="24"/>
        </w:rPr>
      </w:pPr>
      <w:r>
        <w:rPr>
          <w:rFonts w:hint="eastAsia" w:ascii="Times New Roman" w:hAnsi="Times New Roman" w:eastAsia="宋体" w:cs="Times New Roman"/>
          <w:b w:val="0"/>
          <w:color w:val="000000"/>
          <w:kern w:val="2"/>
          <w:sz w:val="24"/>
          <w:szCs w:val="24"/>
          <w:lang w:val="en-US" w:eastAsia="zh-CN" w:bidi="ar-SA"/>
        </w:rPr>
        <w:t>6、</w:t>
      </w:r>
      <w:r>
        <w:rPr>
          <w:rFonts w:hint="eastAsia"/>
          <w:sz w:val="24"/>
        </w:rPr>
        <w:t>供货地点</w:t>
      </w:r>
      <w:r>
        <w:rPr>
          <w:rFonts w:hint="eastAsia"/>
          <w:color w:val="000000"/>
          <w:sz w:val="24"/>
        </w:rPr>
        <w:t>：乙方送货到甲方指定地点。</w:t>
      </w: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851" w:leftChars="0" w:hanging="397" w:firstLineChars="0"/>
        <w:textAlignment w:val="auto"/>
        <w:rPr>
          <w:sz w:val="24"/>
        </w:rPr>
      </w:pPr>
      <w:r>
        <w:rPr>
          <w:rFonts w:hint="eastAsia" w:ascii="Times New Roman" w:hAnsi="Times New Roman" w:eastAsia="宋体" w:cs="Times New Roman"/>
          <w:b w:val="0"/>
          <w:kern w:val="2"/>
          <w:sz w:val="24"/>
          <w:szCs w:val="24"/>
          <w:lang w:val="en-US" w:eastAsia="zh-CN" w:bidi="ar-SA"/>
        </w:rPr>
        <w:t>7、</w:t>
      </w:r>
      <w:r>
        <w:rPr>
          <w:rFonts w:hint="eastAsia"/>
          <w:sz w:val="24"/>
        </w:rPr>
        <w:t>报价文件的组成：</w:t>
      </w: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794" w:leftChars="0" w:firstLine="0" w:firstLineChars="0"/>
        <w:textAlignment w:val="auto"/>
        <w:rPr>
          <w:sz w:val="24"/>
        </w:rPr>
      </w:pPr>
      <w:r>
        <w:rPr>
          <w:rFonts w:hint="eastAsia" w:ascii="Times New Roman" w:hAnsi="Times New Roman" w:eastAsia="宋体" w:cs="Times New Roman"/>
          <w:kern w:val="2"/>
          <w:sz w:val="24"/>
          <w:szCs w:val="24"/>
          <w:lang w:val="en-US" w:eastAsia="zh-CN" w:bidi="ar-SA"/>
        </w:rPr>
        <w:t>（1）</w:t>
      </w:r>
      <w:r>
        <w:rPr>
          <w:rFonts w:hint="eastAsia"/>
          <w:sz w:val="24"/>
        </w:rPr>
        <w:t>营业执照</w:t>
      </w: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794" w:leftChars="0" w:firstLine="0" w:firstLineChars="0"/>
        <w:textAlignment w:val="auto"/>
        <w:rPr>
          <w:sz w:val="24"/>
        </w:rPr>
      </w:pPr>
      <w:r>
        <w:rPr>
          <w:rFonts w:hint="eastAsia" w:ascii="Times New Roman" w:hAnsi="Times New Roman" w:eastAsia="宋体" w:cs="Times New Roman"/>
          <w:kern w:val="2"/>
          <w:sz w:val="24"/>
          <w:szCs w:val="24"/>
          <w:lang w:val="en-US" w:eastAsia="zh-CN" w:bidi="ar-SA"/>
        </w:rPr>
        <w:t>（2）</w:t>
      </w:r>
      <w:r>
        <w:rPr>
          <w:rFonts w:hint="eastAsia"/>
          <w:sz w:val="24"/>
        </w:rPr>
        <w:t>报价单</w:t>
      </w:r>
      <w:r>
        <w:rPr>
          <w:sz w:val="24"/>
        </w:rPr>
        <w:br w:type="textWrapping"/>
      </w:r>
      <w:r>
        <w:rPr>
          <w:rFonts w:hint="eastAsia"/>
          <w:sz w:val="24"/>
        </w:rPr>
        <w:t>（格式自拟，内容包含单价及总价，并且响应询价函）</w:t>
      </w: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794" w:leftChars="0" w:firstLine="0" w:firstLineChars="0"/>
        <w:textAlignment w:val="auto"/>
        <w:rPr>
          <w:rFonts w:hint="eastAsia"/>
          <w:sz w:val="24"/>
          <w:lang w:val="en-US" w:eastAsia="zh-CN"/>
        </w:rPr>
      </w:pPr>
      <w:r>
        <w:rPr>
          <w:rFonts w:hint="eastAsia" w:ascii="Times New Roman" w:hAnsi="Times New Roman" w:eastAsia="宋体" w:cs="Times New Roman"/>
          <w:kern w:val="2"/>
          <w:sz w:val="24"/>
          <w:szCs w:val="24"/>
          <w:lang w:val="en-US" w:eastAsia="zh-CN" w:bidi="ar-SA"/>
        </w:rPr>
        <w:t>（3）</w:t>
      </w:r>
      <w:r>
        <w:rPr>
          <w:rFonts w:hint="eastAsia"/>
          <w:sz w:val="24"/>
          <w:lang w:val="en-US" w:eastAsia="zh-CN"/>
        </w:rPr>
        <w:t>法人身份证复印件或者授权委托书及授权委托人身份证复印件</w:t>
      </w: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794" w:leftChars="0" w:firstLine="0" w:firstLineChars="0"/>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（4）报价方须为天津水务集团“津水云采”平台入库合格供应商</w:t>
      </w: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794" w:leftChars="0" w:firstLine="0" w:firstLineChars="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（5）在“信用中国”查询无未被列入失信执行人</w:t>
      </w: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480" w:firstLineChars="200"/>
        <w:textAlignment w:val="auto"/>
        <w:rPr>
          <w:rFonts w:hint="eastAsia" w:ascii="Times New Roman" w:hAnsi="Times New Roman" w:eastAsia="宋体" w:cs="Times New Roman"/>
          <w:b w:val="0"/>
          <w:kern w:val="2"/>
          <w:sz w:val="24"/>
          <w:szCs w:val="24"/>
          <w:lang w:val="en-US" w:eastAsia="zh-CN" w:bidi="ar-SA"/>
        </w:rPr>
      </w:pPr>
      <w:r>
        <w:rPr>
          <w:rFonts w:hint="eastAsia" w:ascii="Times New Roman" w:hAnsi="Times New Roman" w:eastAsia="宋体" w:cs="Times New Roman"/>
          <w:b w:val="0"/>
          <w:kern w:val="2"/>
          <w:sz w:val="24"/>
          <w:szCs w:val="24"/>
          <w:lang w:val="en-US" w:eastAsia="zh-CN" w:bidi="ar-SA"/>
        </w:rPr>
        <w:t>8、采购方在确定成交供应商后有权对成交产品的结构、规格做适当调整，调整内容将提前通知供应商。</w:t>
      </w: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480" w:firstLineChars="200"/>
        <w:textAlignment w:val="auto"/>
        <w:rPr>
          <w:rFonts w:hint="eastAsia" w:ascii="Times New Roman" w:hAnsi="Times New Roman" w:eastAsia="宋体" w:cs="Times New Roman"/>
          <w:b w:val="0"/>
          <w:kern w:val="2"/>
          <w:sz w:val="24"/>
          <w:szCs w:val="24"/>
          <w:lang w:val="en-US" w:eastAsia="zh-CN" w:bidi="ar-SA"/>
        </w:rPr>
      </w:pPr>
      <w:r>
        <w:rPr>
          <w:rFonts w:hint="eastAsia" w:ascii="Times New Roman" w:hAnsi="Times New Roman" w:eastAsia="宋体" w:cs="Times New Roman"/>
          <w:b w:val="0"/>
          <w:kern w:val="2"/>
          <w:sz w:val="24"/>
          <w:szCs w:val="24"/>
          <w:lang w:val="en-US" w:eastAsia="zh-CN" w:bidi="ar-SA"/>
        </w:rPr>
        <w:t>9、售后服务：本批采购货物若在验收阶段出现不符合规格或质量标准，供应商必须接受退货要求，并在采购人规定期限内等量补运合格产品，若未按时交付影响采购人使用，供应商必须承担由此给采购单位造成的后续经济损失。询价响应供应商必须完全响应以上售后服务承诺，否则视为无效询价响应。</w:t>
      </w: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480" w:firstLineChars="200"/>
        <w:textAlignment w:val="auto"/>
        <w:rPr>
          <w:rFonts w:hint="eastAsia" w:ascii="Times New Roman" w:hAnsi="Times New Roman" w:eastAsia="宋体" w:cs="Times New Roman"/>
          <w:b w:val="0"/>
          <w:kern w:val="2"/>
          <w:sz w:val="24"/>
          <w:szCs w:val="24"/>
          <w:lang w:val="en-US" w:eastAsia="zh-CN" w:bidi="ar-SA"/>
        </w:rPr>
      </w:pPr>
      <w:r>
        <w:rPr>
          <w:rFonts w:hint="eastAsia" w:ascii="Times New Roman" w:hAnsi="Times New Roman" w:eastAsia="宋体" w:cs="Times New Roman"/>
          <w:b w:val="0"/>
          <w:kern w:val="2"/>
          <w:sz w:val="24"/>
          <w:szCs w:val="24"/>
          <w:lang w:val="en-US" w:eastAsia="zh-CN" w:bidi="ar-SA"/>
        </w:rPr>
        <w:t>10、报价方不得虚报各项产品指标，所供货物若不能符合产品要求，成交供应商必须接受全额退还货款，并承担由此给采购单位造成的经济损失。</w:t>
      </w: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480" w:firstLineChars="200"/>
        <w:textAlignment w:val="auto"/>
        <w:rPr>
          <w:rFonts w:hint="eastAsia" w:ascii="Times New Roman" w:hAnsi="Times New Roman" w:eastAsia="宋体" w:cs="Times New Roman"/>
          <w:b w:val="0"/>
          <w:kern w:val="2"/>
          <w:sz w:val="24"/>
          <w:szCs w:val="24"/>
          <w:lang w:val="en-US" w:eastAsia="zh-CN" w:bidi="ar-SA"/>
        </w:rPr>
      </w:pPr>
      <w:r>
        <w:rPr>
          <w:rFonts w:hint="eastAsia" w:ascii="Times New Roman" w:hAnsi="Times New Roman" w:eastAsia="宋体" w:cs="Times New Roman"/>
          <w:b w:val="0"/>
          <w:kern w:val="2"/>
          <w:sz w:val="24"/>
          <w:szCs w:val="24"/>
          <w:lang w:val="en-US" w:eastAsia="zh-CN" w:bidi="ar-SA"/>
        </w:rPr>
        <w:t>11、验收方法及标准：</w:t>
      </w: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480" w:firstLineChars="200"/>
        <w:textAlignment w:val="auto"/>
        <w:rPr>
          <w:rFonts w:hint="eastAsia" w:ascii="Times New Roman" w:hAnsi="Times New Roman" w:eastAsia="宋体" w:cs="Times New Roman"/>
          <w:b w:val="0"/>
          <w:kern w:val="2"/>
          <w:sz w:val="24"/>
          <w:szCs w:val="24"/>
          <w:lang w:val="en-US" w:eastAsia="zh-CN" w:bidi="ar-SA"/>
        </w:rPr>
      </w:pPr>
      <w:r>
        <w:rPr>
          <w:rFonts w:hint="eastAsia" w:ascii="Times New Roman" w:hAnsi="Times New Roman" w:eastAsia="宋体" w:cs="Times New Roman"/>
          <w:b w:val="0"/>
          <w:kern w:val="2"/>
          <w:sz w:val="24"/>
          <w:szCs w:val="24"/>
          <w:lang w:val="en-US" w:eastAsia="zh-CN" w:bidi="ar-SA"/>
        </w:rPr>
        <w:t>（1）验收依据：询价文件、询价响应文件、厂家货物质量标准说明、合同均为验收依据。</w:t>
      </w: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480" w:firstLineChars="200"/>
        <w:textAlignment w:val="auto"/>
        <w:rPr>
          <w:rFonts w:hint="eastAsia" w:ascii="Times New Roman" w:hAnsi="Times New Roman" w:eastAsia="宋体" w:cs="Times New Roman"/>
          <w:b w:val="0"/>
          <w:kern w:val="2"/>
          <w:sz w:val="24"/>
          <w:szCs w:val="24"/>
          <w:lang w:val="en-US" w:eastAsia="zh-CN" w:bidi="ar-SA"/>
        </w:rPr>
      </w:pPr>
      <w:r>
        <w:rPr>
          <w:rFonts w:hint="eastAsia" w:ascii="Times New Roman" w:hAnsi="Times New Roman" w:eastAsia="宋体" w:cs="Times New Roman"/>
          <w:b w:val="0"/>
          <w:kern w:val="2"/>
          <w:sz w:val="24"/>
          <w:szCs w:val="24"/>
          <w:lang w:val="en-US" w:eastAsia="zh-CN" w:bidi="ar-SA"/>
        </w:rPr>
        <w:t>（2）货物验收：货物运抵采购人指定交货处后对照采购清单及质量要求进行验收。</w:t>
      </w:r>
    </w:p>
    <w:p>
      <w:pPr>
        <w:keepNext w:val="0"/>
        <w:keepLines w:val="0"/>
        <w:pageBreakBefore w:val="0"/>
        <w:widowControl w:val="0"/>
        <w:kinsoku/>
        <w:wordWrap/>
        <w:overflowPunct/>
        <w:topLinePunct w:val="0"/>
        <w:autoSpaceDE/>
        <w:autoSpaceDN/>
        <w:bidi w:val="0"/>
        <w:adjustRightInd/>
        <w:snapToGrid/>
        <w:spacing w:line="312" w:lineRule="auto"/>
        <w:textAlignment w:val="auto"/>
        <w:rPr>
          <w:sz w:val="24"/>
        </w:rPr>
      </w:pPr>
      <w:r>
        <w:rPr>
          <w:rFonts w:hint="eastAsia"/>
          <w:sz w:val="24"/>
        </w:rPr>
        <w:t>联 系 人：</w:t>
      </w:r>
      <w:r>
        <w:rPr>
          <w:rFonts w:hint="eastAsia"/>
          <w:sz w:val="24"/>
          <w:lang w:val="en-US" w:eastAsia="zh-CN"/>
        </w:rPr>
        <w:t>魏艳君</w:t>
      </w:r>
      <w:r>
        <w:rPr>
          <w:rFonts w:hint="eastAsia"/>
          <w:sz w:val="24"/>
        </w:rPr>
        <w:t xml:space="preserve">    </w:t>
      </w:r>
    </w:p>
    <w:p>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sz w:val="24"/>
          <w:lang w:val="en-US"/>
        </w:rPr>
      </w:pPr>
      <w:r>
        <w:rPr>
          <w:rFonts w:hint="eastAsia"/>
          <w:sz w:val="24"/>
        </w:rPr>
        <w:t>联系电话：</w:t>
      </w:r>
      <w:r>
        <w:rPr>
          <w:rFonts w:hint="eastAsia"/>
          <w:sz w:val="24"/>
          <w:lang w:val="en-US" w:eastAsia="zh-CN"/>
        </w:rPr>
        <w:t>13821271582</w:t>
      </w:r>
    </w:p>
    <w:p>
      <w:pPr>
        <w:keepNext w:val="0"/>
        <w:keepLines w:val="0"/>
        <w:pageBreakBefore w:val="0"/>
        <w:widowControl w:val="0"/>
        <w:kinsoku/>
        <w:wordWrap/>
        <w:overflowPunct/>
        <w:topLinePunct w:val="0"/>
        <w:autoSpaceDE/>
        <w:autoSpaceDN/>
        <w:bidi w:val="0"/>
        <w:adjustRightInd/>
        <w:snapToGrid/>
        <w:spacing w:line="312" w:lineRule="auto"/>
        <w:ind w:left="1200" w:hanging="1200" w:hangingChars="500"/>
        <w:textAlignment w:val="auto"/>
        <w:rPr>
          <w:rFonts w:hint="eastAsia" w:eastAsia="宋体"/>
          <w:sz w:val="24"/>
          <w:lang w:eastAsia="zh-CN"/>
        </w:rPr>
      </w:pPr>
      <w:r>
        <w:rPr>
          <w:rFonts w:hint="eastAsia"/>
          <w:sz w:val="24"/>
        </w:rPr>
        <w:t xml:space="preserve">地 </w:t>
      </w:r>
      <w:r>
        <w:rPr>
          <w:sz w:val="24"/>
        </w:rPr>
        <w:t xml:space="preserve">  </w:t>
      </w:r>
      <w:r>
        <w:rPr>
          <w:rFonts w:hint="eastAsia"/>
          <w:sz w:val="24"/>
        </w:rPr>
        <w:t xml:space="preserve"> 址：天津市北辰区铁东路</w:t>
      </w:r>
      <w:r>
        <w:rPr>
          <w:rFonts w:hint="eastAsia"/>
          <w:sz w:val="24"/>
          <w:lang w:eastAsia="zh-CN"/>
        </w:rPr>
        <w:t>（</w:t>
      </w:r>
      <w:r>
        <w:rPr>
          <w:rFonts w:hint="eastAsia"/>
          <w:sz w:val="24"/>
          <w:lang w:val="en-US" w:eastAsia="zh-CN"/>
        </w:rPr>
        <w:t>烈士陵园旁</w:t>
      </w:r>
      <w:r>
        <w:rPr>
          <w:rFonts w:hint="eastAsia"/>
          <w:sz w:val="24"/>
          <w:lang w:eastAsia="zh-CN"/>
        </w:rPr>
        <w:t>）</w:t>
      </w:r>
    </w:p>
    <w:p>
      <w:pPr>
        <w:keepNext w:val="0"/>
        <w:keepLines w:val="0"/>
        <w:pageBreakBefore w:val="0"/>
        <w:widowControl w:val="0"/>
        <w:kinsoku/>
        <w:wordWrap/>
        <w:overflowPunct/>
        <w:topLinePunct w:val="0"/>
        <w:autoSpaceDE/>
        <w:autoSpaceDN/>
        <w:bidi w:val="0"/>
        <w:adjustRightInd/>
        <w:snapToGrid/>
        <w:spacing w:line="312" w:lineRule="auto"/>
        <w:ind w:left="1200" w:hanging="1200" w:hangingChars="500"/>
        <w:jc w:val="right"/>
        <w:textAlignment w:val="auto"/>
        <w:rPr>
          <w:sz w:val="24"/>
        </w:rPr>
      </w:pPr>
    </w:p>
    <w:p>
      <w:pPr>
        <w:keepNext w:val="0"/>
        <w:keepLines w:val="0"/>
        <w:pageBreakBefore w:val="0"/>
        <w:widowControl w:val="0"/>
        <w:kinsoku/>
        <w:wordWrap/>
        <w:overflowPunct/>
        <w:topLinePunct w:val="0"/>
        <w:autoSpaceDE/>
        <w:autoSpaceDN/>
        <w:bidi w:val="0"/>
        <w:adjustRightInd/>
        <w:snapToGrid/>
        <w:spacing w:line="312" w:lineRule="auto"/>
        <w:ind w:left="1200" w:hanging="1200" w:hangingChars="500"/>
        <w:jc w:val="right"/>
        <w:textAlignment w:val="auto"/>
        <w:rPr>
          <w:rFonts w:hint="eastAsia"/>
          <w:sz w:val="24"/>
          <w:lang w:val="en-US" w:eastAsia="zh-CN"/>
        </w:rPr>
      </w:pPr>
      <w:r>
        <w:rPr>
          <w:rFonts w:hint="eastAsia"/>
          <w:sz w:val="24"/>
        </w:rPr>
        <w:t>天津</w:t>
      </w:r>
      <w:r>
        <w:rPr>
          <w:rFonts w:hint="eastAsia"/>
          <w:sz w:val="24"/>
          <w:lang w:val="en-US" w:eastAsia="zh-CN"/>
        </w:rPr>
        <w:t>太合节能科技有限公司</w:t>
      </w:r>
    </w:p>
    <w:p>
      <w:pPr>
        <w:keepNext w:val="0"/>
        <w:keepLines w:val="0"/>
        <w:pageBreakBefore w:val="0"/>
        <w:widowControl w:val="0"/>
        <w:kinsoku/>
        <w:wordWrap/>
        <w:overflowPunct/>
        <w:topLinePunct w:val="0"/>
        <w:autoSpaceDE/>
        <w:autoSpaceDN/>
        <w:bidi w:val="0"/>
        <w:adjustRightInd/>
        <w:snapToGrid/>
        <w:spacing w:line="312" w:lineRule="auto"/>
        <w:ind w:left="1200" w:hanging="1200" w:hangingChars="500"/>
        <w:jc w:val="right"/>
        <w:textAlignment w:val="auto"/>
      </w:pPr>
      <w:r>
        <w:rPr>
          <w:sz w:val="24"/>
        </w:rPr>
        <w:t>202</w:t>
      </w:r>
      <w:r>
        <w:rPr>
          <w:rFonts w:hint="eastAsia"/>
          <w:sz w:val="24"/>
          <w:lang w:val="en-US" w:eastAsia="zh-CN"/>
        </w:rPr>
        <w:t>4</w:t>
      </w:r>
      <w:r>
        <w:rPr>
          <w:rFonts w:hint="eastAsia"/>
          <w:sz w:val="24"/>
        </w:rPr>
        <w:t>年</w:t>
      </w:r>
      <w:r>
        <w:rPr>
          <w:rFonts w:hint="eastAsia"/>
          <w:sz w:val="24"/>
          <w:lang w:val="en-US" w:eastAsia="zh-CN"/>
        </w:rPr>
        <w:t>4</w:t>
      </w:r>
      <w:r>
        <w:rPr>
          <w:rFonts w:hint="eastAsia"/>
          <w:sz w:val="24"/>
        </w:rPr>
        <w:t>月</w:t>
      </w:r>
      <w:r>
        <w:rPr>
          <w:rFonts w:hint="eastAsia"/>
          <w:sz w:val="24"/>
          <w:lang w:val="en-US" w:eastAsia="zh-CN"/>
        </w:rPr>
        <w:t>9</w:t>
      </w:r>
      <w:r>
        <w:rPr>
          <w:rFonts w:hint="eastAsia"/>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189BFF"/>
    <w:multiLevelType w:val="singleLevel"/>
    <w:tmpl w:val="F2189BFF"/>
    <w:lvl w:ilvl="0" w:tentative="0">
      <w:start w:val="1"/>
      <w:numFmt w:val="chineseCounting"/>
      <w:suff w:val="nothing"/>
      <w:lvlText w:val="%1、"/>
      <w:lvlJc w:val="left"/>
      <w:rPr>
        <w:rFonts w:hint="eastAsia"/>
      </w:rPr>
    </w:lvl>
  </w:abstractNum>
  <w:abstractNum w:abstractNumId="1">
    <w:nsid w:val="1A5E3E10"/>
    <w:multiLevelType w:val="multilevel"/>
    <w:tmpl w:val="1A5E3E10"/>
    <w:lvl w:ilvl="0" w:tentative="0">
      <w:start w:val="1"/>
      <w:numFmt w:val="decimal"/>
      <w:lvlText w:val="%1."/>
      <w:lvlJc w:val="left"/>
      <w:pPr>
        <w:ind w:left="945" w:hanging="420"/>
      </w:p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2">
    <w:nsid w:val="1FB50B00"/>
    <w:multiLevelType w:val="multilevel"/>
    <w:tmpl w:val="1FB50B00"/>
    <w:lvl w:ilvl="0" w:tentative="0">
      <w:start w:val="1"/>
      <w:numFmt w:val="decimal"/>
      <w:lvlText w:val="%1."/>
      <w:lvlJc w:val="left"/>
      <w:pPr>
        <w:ind w:left="945" w:hanging="420"/>
      </w:p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3">
    <w:nsid w:val="5694A179"/>
    <w:multiLevelType w:val="singleLevel"/>
    <w:tmpl w:val="5694A179"/>
    <w:lvl w:ilvl="0" w:tentative="0">
      <w:start w:val="2"/>
      <w:numFmt w:val="chineseCounting"/>
      <w:suff w:val="nothing"/>
      <w:lvlText w:val="%1、"/>
      <w:lvlJc w:val="left"/>
    </w:lvl>
  </w:abstractNum>
  <w:abstractNum w:abstractNumId="4">
    <w:nsid w:val="5B77D1F9"/>
    <w:multiLevelType w:val="singleLevel"/>
    <w:tmpl w:val="5B77D1F9"/>
    <w:lvl w:ilvl="0" w:tentative="0">
      <w:start w:val="1"/>
      <w:numFmt w:val="decimalEnclosedCircleChinese"/>
      <w:suff w:val="nothing"/>
      <w:lvlText w:val="%1　"/>
      <w:lvlJc w:val="left"/>
      <w:pPr>
        <w:ind w:left="0" w:firstLine="400"/>
      </w:pPr>
      <w:rPr>
        <w:rFonts w:hint="eastAsia"/>
      </w:rPr>
    </w:lvl>
  </w:abstractNum>
  <w:abstractNum w:abstractNumId="5">
    <w:nsid w:val="681C40C7"/>
    <w:multiLevelType w:val="multilevel"/>
    <w:tmpl w:val="681C40C7"/>
    <w:lvl w:ilvl="0" w:tentative="0">
      <w:start w:val="1"/>
      <w:numFmt w:val="decimal"/>
      <w:lvlText w:val="%1)"/>
      <w:lvlJc w:val="left"/>
      <w:pPr>
        <w:ind w:left="1413" w:hanging="420"/>
      </w:pPr>
    </w:lvl>
    <w:lvl w:ilvl="1" w:tentative="0">
      <w:start w:val="1"/>
      <w:numFmt w:val="lowerLetter"/>
      <w:lvlText w:val="%2)"/>
      <w:lvlJc w:val="left"/>
      <w:pPr>
        <w:ind w:left="1833" w:hanging="420"/>
      </w:pPr>
    </w:lvl>
    <w:lvl w:ilvl="2" w:tentative="0">
      <w:start w:val="1"/>
      <w:numFmt w:val="lowerRoman"/>
      <w:lvlText w:val="%3."/>
      <w:lvlJc w:val="right"/>
      <w:pPr>
        <w:ind w:left="2253" w:hanging="420"/>
      </w:pPr>
    </w:lvl>
    <w:lvl w:ilvl="3" w:tentative="0">
      <w:start w:val="1"/>
      <w:numFmt w:val="decimal"/>
      <w:lvlText w:val="%4."/>
      <w:lvlJc w:val="left"/>
      <w:pPr>
        <w:ind w:left="2673" w:hanging="420"/>
      </w:pPr>
    </w:lvl>
    <w:lvl w:ilvl="4" w:tentative="0">
      <w:start w:val="1"/>
      <w:numFmt w:val="lowerLetter"/>
      <w:lvlText w:val="%5)"/>
      <w:lvlJc w:val="left"/>
      <w:pPr>
        <w:ind w:left="3093" w:hanging="420"/>
      </w:pPr>
    </w:lvl>
    <w:lvl w:ilvl="5" w:tentative="0">
      <w:start w:val="1"/>
      <w:numFmt w:val="lowerRoman"/>
      <w:lvlText w:val="%6."/>
      <w:lvlJc w:val="right"/>
      <w:pPr>
        <w:ind w:left="3513" w:hanging="420"/>
      </w:pPr>
    </w:lvl>
    <w:lvl w:ilvl="6" w:tentative="0">
      <w:start w:val="1"/>
      <w:numFmt w:val="decimal"/>
      <w:lvlText w:val="%7."/>
      <w:lvlJc w:val="left"/>
      <w:pPr>
        <w:ind w:left="3933" w:hanging="420"/>
      </w:pPr>
    </w:lvl>
    <w:lvl w:ilvl="7" w:tentative="0">
      <w:start w:val="1"/>
      <w:numFmt w:val="lowerLetter"/>
      <w:lvlText w:val="%8)"/>
      <w:lvlJc w:val="left"/>
      <w:pPr>
        <w:ind w:left="4353" w:hanging="420"/>
      </w:pPr>
    </w:lvl>
    <w:lvl w:ilvl="8" w:tentative="0">
      <w:start w:val="1"/>
      <w:numFmt w:val="lowerRoman"/>
      <w:lvlText w:val="%9."/>
      <w:lvlJc w:val="right"/>
      <w:pPr>
        <w:ind w:left="4773" w:hanging="420"/>
      </w:pPr>
    </w:lvl>
  </w:abstractNum>
  <w:abstractNum w:abstractNumId="6">
    <w:nsid w:val="6F061223"/>
    <w:multiLevelType w:val="multilevel"/>
    <w:tmpl w:val="6F061223"/>
    <w:lvl w:ilvl="0" w:tentative="0">
      <w:start w:val="1"/>
      <w:numFmt w:val="decimal"/>
      <w:lvlText w:val="%1."/>
      <w:lvlJc w:val="left"/>
      <w:pPr>
        <w:ind w:left="945" w:hanging="420"/>
      </w:p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7">
    <w:nsid w:val="79286DC7"/>
    <w:multiLevelType w:val="singleLevel"/>
    <w:tmpl w:val="79286DC7"/>
    <w:lvl w:ilvl="0" w:tentative="0">
      <w:start w:val="1"/>
      <w:numFmt w:val="decimal"/>
      <w:suff w:val="nothing"/>
      <w:lvlText w:val="%1、"/>
      <w:lvlJc w:val="left"/>
    </w:lvl>
  </w:abstractNum>
  <w:num w:numId="1">
    <w:abstractNumId w:val="7"/>
  </w:num>
  <w:num w:numId="2">
    <w:abstractNumId w:val="4"/>
  </w:num>
  <w:num w:numId="3">
    <w:abstractNumId w:val="0"/>
  </w:num>
  <w:num w:numId="4">
    <w:abstractNumId w:val="3"/>
  </w:num>
  <w:num w:numId="5">
    <w:abstractNumId w:val="1"/>
  </w:num>
  <w:num w:numId="6">
    <w:abstractNumId w:val="5"/>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zZWEyMDY3MDBjOWNiZTYxYTkxZDQ1YTU4MWU5ZTgifQ=="/>
  </w:docVars>
  <w:rsids>
    <w:rsidRoot w:val="00000000"/>
    <w:rsid w:val="0FA02787"/>
    <w:rsid w:val="10350091"/>
    <w:rsid w:val="182F2CED"/>
    <w:rsid w:val="1BCB4081"/>
    <w:rsid w:val="21081190"/>
    <w:rsid w:val="23A80591"/>
    <w:rsid w:val="378E1FE0"/>
    <w:rsid w:val="494B4436"/>
    <w:rsid w:val="4CBC19DA"/>
    <w:rsid w:val="55941598"/>
    <w:rsid w:val="647E087E"/>
    <w:rsid w:val="6F9650C1"/>
    <w:rsid w:val="72993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unhideWhenUsed/>
    <w:qFormat/>
    <w:uiPriority w:val="99"/>
    <w:pPr>
      <w:spacing w:after="120"/>
    </w:pPr>
  </w:style>
  <w:style w:type="paragraph" w:styleId="5">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900</Words>
  <Characters>989</Characters>
  <Lines>0</Lines>
  <Paragraphs>0</Paragraphs>
  <TotalTime>61</TotalTime>
  <ScaleCrop>false</ScaleCrop>
  <LinksUpToDate>false</LinksUpToDate>
  <CharactersWithSpaces>1021</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2022-11-14T03:02:00Z</dcterms:created>
  <dc:creator>fengbaoming</dc:creator>
  <cp:lastModifiedBy>公，梁术霞</cp:lastModifiedBy>
  <dcterms:modified xsi:type="dcterms:W3CDTF">2024-04-09T05:16:24Z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391554145990478C9D61B06C2BCBD767_13</vt:lpwstr>
  </property>
</Properties>
</file>